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84" w:type="dxa"/>
        <w:tblLook w:val="01E0" w:firstRow="1" w:lastRow="1" w:firstColumn="1" w:lastColumn="1" w:noHBand="0" w:noVBand="0"/>
      </w:tblPr>
      <w:tblGrid>
        <w:gridCol w:w="12"/>
        <w:gridCol w:w="2448"/>
        <w:gridCol w:w="2400"/>
        <w:gridCol w:w="2100"/>
        <w:gridCol w:w="2520"/>
        <w:gridCol w:w="159"/>
      </w:tblGrid>
      <w:tr w:rsidR="00D60982" w:rsidTr="00D60982">
        <w:trPr>
          <w:gridBefore w:val="1"/>
          <w:gridAfter w:val="1"/>
          <w:wBefore w:w="12" w:type="dxa"/>
          <w:wAfter w:w="159" w:type="dxa"/>
        </w:trPr>
        <w:tc>
          <w:tcPr>
            <w:tcW w:w="9468" w:type="dxa"/>
            <w:gridSpan w:val="4"/>
            <w:hideMark/>
          </w:tcPr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jc w:val="right"/>
              <w:outlineLvl w:val="1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t>проект</w:t>
            </w:r>
          </w:p>
        </w:tc>
      </w:tr>
      <w:tr w:rsidR="00D60982" w:rsidTr="00D60982">
        <w:trPr>
          <w:gridBefore w:val="1"/>
          <w:gridAfter w:val="1"/>
          <w:wBefore w:w="12" w:type="dxa"/>
          <w:wAfter w:w="159" w:type="dxa"/>
        </w:trPr>
        <w:tc>
          <w:tcPr>
            <w:tcW w:w="9468" w:type="dxa"/>
            <w:gridSpan w:val="4"/>
          </w:tcPr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jc w:val="center"/>
              <w:outlineLvl w:val="1"/>
              <w:rPr>
                <w:b/>
                <w:bCs/>
              </w:rPr>
            </w:pPr>
          </w:p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jc w:val="center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АДМИНИСТРАЦИЯ НОВОАЛЕКСАНДРОВСКОГО </w:t>
            </w:r>
          </w:p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jc w:val="center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МУНИЦИПАЛЬНОГО ОКРУГА СТАВРОПОЛЬСКОГО КРАЯ</w:t>
            </w:r>
          </w:p>
          <w:p w:rsidR="00D60982" w:rsidRDefault="00D60982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</w:tr>
      <w:tr w:rsidR="00D60982" w:rsidTr="00D60982">
        <w:trPr>
          <w:gridBefore w:val="1"/>
          <w:gridAfter w:val="1"/>
          <w:wBefore w:w="12" w:type="dxa"/>
          <w:wAfter w:w="159" w:type="dxa"/>
        </w:trPr>
        <w:tc>
          <w:tcPr>
            <w:tcW w:w="2448" w:type="dxa"/>
          </w:tcPr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D60982" w:rsidRDefault="00D60982">
            <w:pPr>
              <w:spacing w:line="25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:rsidR="00D60982" w:rsidRDefault="00D6098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D60982" w:rsidRDefault="00D60982">
            <w:pPr>
              <w:spacing w:line="256" w:lineRule="auto"/>
              <w:jc w:val="right"/>
              <w:rPr>
                <w:sz w:val="28"/>
                <w:szCs w:val="28"/>
              </w:rPr>
            </w:pPr>
          </w:p>
        </w:tc>
      </w:tr>
      <w:tr w:rsidR="00D60982" w:rsidTr="00D60982">
        <w:trPr>
          <w:gridBefore w:val="1"/>
          <w:gridAfter w:val="1"/>
          <w:wBefore w:w="12" w:type="dxa"/>
          <w:wAfter w:w="159" w:type="dxa"/>
        </w:trPr>
        <w:tc>
          <w:tcPr>
            <w:tcW w:w="2448" w:type="dxa"/>
          </w:tcPr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outlineLvl w:val="1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4500" w:type="dxa"/>
            <w:gridSpan w:val="2"/>
            <w:hideMark/>
          </w:tcPr>
          <w:p w:rsidR="00D60982" w:rsidRDefault="00D60982">
            <w:pPr>
              <w:spacing w:line="256" w:lineRule="auto"/>
              <w:jc w:val="center"/>
            </w:pPr>
            <w:r>
              <w:t>г. Новоалександровск</w:t>
            </w:r>
          </w:p>
        </w:tc>
        <w:tc>
          <w:tcPr>
            <w:tcW w:w="2520" w:type="dxa"/>
          </w:tcPr>
          <w:p w:rsidR="00D60982" w:rsidRDefault="00D60982">
            <w:pPr>
              <w:spacing w:line="256" w:lineRule="auto"/>
              <w:jc w:val="right"/>
              <w:rPr>
                <w:sz w:val="28"/>
                <w:szCs w:val="28"/>
              </w:rPr>
            </w:pPr>
          </w:p>
        </w:tc>
      </w:tr>
      <w:tr w:rsidR="00D60982" w:rsidTr="00D60982">
        <w:trPr>
          <w:trHeight w:val="96"/>
        </w:trPr>
        <w:tc>
          <w:tcPr>
            <w:tcW w:w="4860" w:type="dxa"/>
            <w:gridSpan w:val="3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60982" w:rsidRDefault="00D60982">
            <w:pPr>
              <w:snapToGrid w:val="0"/>
              <w:spacing w:line="256" w:lineRule="auto"/>
              <w:rPr>
                <w:szCs w:val="28"/>
              </w:rPr>
            </w:pPr>
          </w:p>
        </w:tc>
        <w:tc>
          <w:tcPr>
            <w:tcW w:w="4779" w:type="dxa"/>
            <w:gridSpan w:val="3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60982" w:rsidRDefault="00D60982">
            <w:pPr>
              <w:snapToGrid w:val="0"/>
              <w:spacing w:line="256" w:lineRule="auto"/>
              <w:jc w:val="right"/>
              <w:rPr>
                <w:szCs w:val="28"/>
              </w:rPr>
            </w:pPr>
          </w:p>
        </w:tc>
      </w:tr>
    </w:tbl>
    <w:p w:rsidR="00D60982" w:rsidRDefault="00D60982" w:rsidP="00D60982">
      <w:pPr>
        <w:ind w:firstLine="709"/>
        <w:rPr>
          <w:szCs w:val="28"/>
        </w:rPr>
      </w:pPr>
    </w:p>
    <w:p w:rsidR="00D60982" w:rsidRDefault="00D60982" w:rsidP="00D609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установлении норматива стоимости одного квадратного метра общей площади жилого помещения на территории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</w:t>
      </w:r>
      <w:r>
        <w:rPr>
          <w:sz w:val="28"/>
          <w:szCs w:val="28"/>
          <w:lang w:val="en-US"/>
        </w:rPr>
        <w:t>II</w:t>
      </w:r>
      <w:r w:rsidRPr="00D609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квартал 2025 года </w:t>
      </w:r>
    </w:p>
    <w:p w:rsidR="00D60982" w:rsidRDefault="00D60982" w:rsidP="00D60982">
      <w:pPr>
        <w:jc w:val="both"/>
        <w:rPr>
          <w:sz w:val="28"/>
          <w:szCs w:val="28"/>
        </w:rPr>
      </w:pPr>
    </w:p>
    <w:p w:rsidR="00D60982" w:rsidRDefault="00D60982" w:rsidP="00D6098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60982" w:rsidRDefault="00D60982" w:rsidP="00D6098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 xml:space="preserve"> В соответствии с Федеральным законом от 06.10.2003 № 131-ФЗ </w:t>
      </w:r>
      <w:r>
        <w:rPr>
          <w:sz w:val="28"/>
          <w:szCs w:val="28"/>
        </w:rPr>
        <w:br/>
        <w:t>«Об общих принципах организации местного самоуправления в Российской Федерации», руководствуясь пунктом 13 Правил предоставления молодым семьям социальных выплат на приобретение (строительство) жилья и их использования о реализации отдельных мероприятий государственной программы Российской Федерации</w:t>
      </w:r>
      <w:r>
        <w:rPr>
          <w:rFonts w:eastAsia="Calibri"/>
          <w:sz w:val="28"/>
          <w:szCs w:val="28"/>
          <w:lang w:eastAsia="ru-RU"/>
        </w:rPr>
        <w:t xml:space="preserve"> «Обеспечение доступным и комфортным жильем и коммунальными услугами граждан Российской Федерации», утвержденных постановлением Правительства Российской Федерации от 17.12.2010 № 1050, Уставом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муниципального округа Ставропольского края, Решением Совета депутатов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городского округа первого созыва от 09.10.2018 № 18/273 «О наделении администрации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городского округа Ставропольского края полномочиями по установлению норматива стоимости одного квадратного метра общей площади жилья на территории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городского округа Ставропольского края», постановлением администрации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муниципального округа Ставроп</w:t>
      </w:r>
      <w:r w:rsidR="00A95D45">
        <w:rPr>
          <w:rFonts w:eastAsia="Calibri"/>
          <w:sz w:val="28"/>
          <w:szCs w:val="28"/>
          <w:lang w:eastAsia="ru-RU"/>
        </w:rPr>
        <w:t xml:space="preserve">ольского края от 01.07.2024 </w:t>
      </w:r>
      <w:r>
        <w:rPr>
          <w:rFonts w:eastAsia="Calibri"/>
          <w:sz w:val="28"/>
          <w:szCs w:val="28"/>
          <w:lang w:eastAsia="ru-RU"/>
        </w:rPr>
        <w:t xml:space="preserve"> №</w:t>
      </w:r>
      <w:r w:rsidR="00A95D45" w:rsidRPr="00A95D45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958 «Об утверждении Методики расчета норматива стоимости 1 квадратного метра общей площади жилого помещения по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Новоалександровскому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муниципальному округу Ставропольского края», администрация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муниципального округа Ставропольского края</w:t>
      </w:r>
    </w:p>
    <w:p w:rsidR="00D60982" w:rsidRDefault="00D60982" w:rsidP="00D60982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D60982" w:rsidRDefault="00D60982" w:rsidP="00D60982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ПОСТАНОВЛЯЕТ:</w:t>
      </w:r>
    </w:p>
    <w:p w:rsidR="00D60982" w:rsidRDefault="00D60982" w:rsidP="00D60982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D60982" w:rsidRDefault="00D60982" w:rsidP="00D60982">
      <w:pPr>
        <w:pStyle w:val="ConsPlusNormal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Установить норматив стоимости 1 квадратного метра общей площади жилого помещения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Ставропольского края на </w:t>
      </w:r>
      <w:r w:rsidR="00C85B7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A95D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Pr="00D60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квартал 202</w:t>
      </w:r>
      <w:r w:rsidR="00C85B7E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для расчета размера социальной выплаты молодым семьям на приобретение или строительство (долевое строительство) жилья в рамках муниципальной программы </w:t>
      </w:r>
      <w:r>
        <w:rPr>
          <w:rFonts w:ascii="Times New Roman" w:hAnsi="Times New Roman" w:cs="Times New Roman"/>
          <w:spacing w:val="-1"/>
          <w:sz w:val="28"/>
          <w:szCs w:val="28"/>
        </w:rPr>
        <w:t>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Благоустройство населенных пунктов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района и улучшение условий проживания населения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в размере </w:t>
      </w:r>
      <w:r w:rsidR="00C85B7E">
        <w:rPr>
          <w:rFonts w:ascii="Times New Roman" w:hAnsi="Times New Roman" w:cs="Times New Roman"/>
          <w:sz w:val="28"/>
          <w:szCs w:val="28"/>
          <w:shd w:val="clear" w:color="auto" w:fill="FFFFFF"/>
        </w:rPr>
        <w:t>49 803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рубля.</w:t>
      </w: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0982" w:rsidRDefault="00D60982" w:rsidP="00D60982">
      <w:pPr>
        <w:pStyle w:val="ConsPlusNormal0"/>
        <w:ind w:firstLine="567"/>
        <w:jc w:val="both"/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</w:pPr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>2. Опубликовать настоящее постановление в муниципальной газете «</w:t>
      </w:r>
      <w:proofErr w:type="spellStart"/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>Новоалександровский</w:t>
      </w:r>
      <w:proofErr w:type="spellEnd"/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 xml:space="preserve"> вестник» и разместить на официальном сайте </w:t>
      </w:r>
      <w:proofErr w:type="spellStart"/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>Новоалександровского</w:t>
      </w:r>
      <w:proofErr w:type="spellEnd"/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 xml:space="preserve"> муниципального округа Ставропольского края (</w:t>
      </w:r>
      <w:hyperlink r:id="rId5" w:history="1">
        <w:r>
          <w:rPr>
            <w:rStyle w:val="a6"/>
            <w:rFonts w:ascii="Times New Roman" w:eastAsia="Courier New" w:hAnsi="Times New Roman"/>
            <w:bCs/>
            <w:kern w:val="2"/>
            <w:sz w:val="28"/>
            <w:szCs w:val="28"/>
            <w:lang w:eastAsia="zh-CN"/>
          </w:rPr>
          <w:t>https://newalexandrovsk.gosuslugi.ru</w:t>
        </w:r>
      </w:hyperlink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>).</w:t>
      </w: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0982" w:rsidRDefault="00D60982" w:rsidP="00D60982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Савельева Е.А. </w:t>
      </w:r>
    </w:p>
    <w:p w:rsidR="00D60982" w:rsidRDefault="00D60982" w:rsidP="00D60982">
      <w:pPr>
        <w:widowControl w:val="0"/>
        <w:shd w:val="clear" w:color="auto" w:fill="FFFFFF"/>
        <w:tabs>
          <w:tab w:val="left" w:pos="38"/>
        </w:tabs>
        <w:suppressAutoHyphens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</w:t>
      </w:r>
    </w:p>
    <w:p w:rsidR="00D60982" w:rsidRDefault="00D60982" w:rsidP="00D60982">
      <w:pPr>
        <w:widowControl w:val="0"/>
        <w:shd w:val="clear" w:color="auto" w:fill="FFFFFF"/>
        <w:tabs>
          <w:tab w:val="left" w:pos="3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0982" w:rsidRDefault="00D60982" w:rsidP="00D60982">
      <w:pPr>
        <w:spacing w:line="28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br/>
      </w:r>
      <w:proofErr w:type="spellStart"/>
      <w:r>
        <w:rPr>
          <w:b/>
          <w:sz w:val="28"/>
          <w:szCs w:val="28"/>
        </w:rPr>
        <w:t>Новоалександровского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муниципального округа </w:t>
      </w:r>
      <w:r>
        <w:rPr>
          <w:b/>
          <w:sz w:val="28"/>
          <w:szCs w:val="28"/>
        </w:rPr>
        <w:br/>
        <w:t xml:space="preserve">Ставропольского края                                                                 Э.А. Колтунов </w:t>
      </w: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1E14BB" w:rsidRDefault="001E14BB" w:rsidP="001E14BB">
      <w:pPr>
        <w:suppressAutoHyphens w:val="0"/>
        <w:spacing w:line="280" w:lineRule="exact"/>
        <w:rPr>
          <w:rFonts w:eastAsia="Calibri"/>
          <w:sz w:val="28"/>
          <w:szCs w:val="28"/>
          <w:lang w:eastAsia="en-US"/>
        </w:rPr>
      </w:pPr>
      <w:r>
        <w:rPr>
          <w:spacing w:val="-3"/>
          <w:sz w:val="28"/>
          <w:szCs w:val="28"/>
        </w:rPr>
        <w:lastRenderedPageBreak/>
        <w:t>Проект постановления вносит</w:t>
      </w:r>
      <w:r>
        <w:rPr>
          <w:sz w:val="28"/>
          <w:szCs w:val="28"/>
        </w:rPr>
        <w:t xml:space="preserve"> </w:t>
      </w:r>
      <w:r w:rsidR="00D60982">
        <w:rPr>
          <w:sz w:val="28"/>
          <w:szCs w:val="28"/>
        </w:rPr>
        <w:t>заместитель главы</w:t>
      </w:r>
      <w:r>
        <w:rPr>
          <w:rFonts w:eastAsia="Calibri"/>
          <w:sz w:val="28"/>
          <w:szCs w:val="28"/>
          <w:lang w:eastAsia="en-US"/>
        </w:rPr>
        <w:t xml:space="preserve">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муниципального округа </w:t>
      </w:r>
      <w:r>
        <w:rPr>
          <w:rFonts w:eastAsia="Calibri"/>
          <w:sz w:val="28"/>
          <w:szCs w:val="28"/>
          <w:lang w:eastAsia="en-US"/>
        </w:rPr>
        <w:br/>
        <w:t xml:space="preserve">Ставропольского края                                                                    </w:t>
      </w:r>
      <w:proofErr w:type="spellStart"/>
      <w:r w:rsidR="00D60982">
        <w:rPr>
          <w:rFonts w:eastAsia="Calibri"/>
          <w:sz w:val="28"/>
          <w:szCs w:val="28"/>
          <w:lang w:eastAsia="en-US"/>
        </w:rPr>
        <w:t>Е.А.Савельев</w:t>
      </w:r>
      <w:proofErr w:type="spellEnd"/>
    </w:p>
    <w:p w:rsidR="001E14BB" w:rsidRDefault="001E14BB" w:rsidP="001E14BB">
      <w:pPr>
        <w:pStyle w:val="a3"/>
        <w:spacing w:after="0" w:line="280" w:lineRule="exact"/>
        <w:jc w:val="both"/>
        <w:rPr>
          <w:bCs/>
          <w:color w:val="000000"/>
          <w:sz w:val="22"/>
          <w:szCs w:val="28"/>
        </w:rPr>
      </w:pPr>
    </w:p>
    <w:p w:rsidR="001E14BB" w:rsidRDefault="001E14BB" w:rsidP="001E14BB">
      <w:pPr>
        <w:pStyle w:val="a5"/>
        <w:jc w:val="both"/>
        <w:rPr>
          <w:spacing w:val="-5"/>
          <w:sz w:val="28"/>
          <w:szCs w:val="28"/>
        </w:rPr>
      </w:pPr>
    </w:p>
    <w:p w:rsidR="001E14BB" w:rsidRDefault="001E14BB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C85B7E">
      <w:pPr>
        <w:shd w:val="clear" w:color="auto" w:fill="FFFFFF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1E14BB" w:rsidRDefault="001E14BB" w:rsidP="00A95D45">
      <w:pPr>
        <w:shd w:val="clear" w:color="auto" w:fill="FFFFFF"/>
        <w:ind w:left="5" w:hanging="147"/>
        <w:rPr>
          <w:sz w:val="28"/>
          <w:szCs w:val="28"/>
        </w:rPr>
      </w:pPr>
      <w:r>
        <w:rPr>
          <w:spacing w:val="-5"/>
          <w:sz w:val="28"/>
          <w:szCs w:val="28"/>
        </w:rPr>
        <w:t>СОГЛАСОВАНО:</w:t>
      </w:r>
    </w:p>
    <w:p w:rsidR="001E14BB" w:rsidRDefault="001E14BB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Исполняющий обязанности</w:t>
      </w:r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заместителя главы администрации,</w:t>
      </w:r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начальник правового отдела</w:t>
      </w:r>
    </w:p>
    <w:p w:rsidR="00D60982" w:rsidRDefault="00D60982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администрации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Новоалександровского</w:t>
      </w:r>
      <w:proofErr w:type="spellEnd"/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муниципального округа</w:t>
      </w:r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Ставропольского края                            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В.Е.Гмирин</w:t>
      </w:r>
      <w:proofErr w:type="spellEnd"/>
    </w:p>
    <w:p w:rsidR="00D60982" w:rsidRDefault="00D60982" w:rsidP="00D60982">
      <w:pPr>
        <w:pStyle w:val="a5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D60982" w:rsidRDefault="00D60982" w:rsidP="00D60982">
      <w:pPr>
        <w:pStyle w:val="a5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D60982" w:rsidRDefault="00D60982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Исполняющий обязанности</w:t>
      </w:r>
    </w:p>
    <w:p w:rsidR="00D60982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н</w:t>
      </w:r>
      <w:r w:rsidR="00D60982">
        <w:rPr>
          <w:rFonts w:ascii="Times New Roman" w:hAnsi="Times New Roman"/>
          <w:spacing w:val="-1"/>
          <w:sz w:val="28"/>
          <w:szCs w:val="28"/>
          <w:lang w:eastAsia="ar-SA"/>
        </w:rPr>
        <w:t>ачальника общего отдела</w:t>
      </w:r>
      <w:r>
        <w:rPr>
          <w:rFonts w:ascii="Times New Roman" w:hAnsi="Times New Roman"/>
          <w:spacing w:val="-1"/>
          <w:sz w:val="28"/>
          <w:szCs w:val="28"/>
          <w:lang w:eastAsia="ar-SA"/>
        </w:rPr>
        <w:t>,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главный специалист общего отдела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администрации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Новоалександровского</w:t>
      </w:r>
      <w:proofErr w:type="spellEnd"/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муниципального округа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Ставропольского края                           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Т.В.Казакова</w:t>
      </w:r>
      <w:proofErr w:type="spellEnd"/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Начальник отдела жилищно-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Коммунального хозяйства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администрации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Новоалександровского</w:t>
      </w:r>
      <w:proofErr w:type="spellEnd"/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муниципального округа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Ставропольского края                            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А.С.Лазарева</w:t>
      </w:r>
      <w:proofErr w:type="spellEnd"/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C85B7E" w:rsidRDefault="00C85B7E" w:rsidP="00C85B7E">
      <w:pPr>
        <w:shd w:val="clear" w:color="auto" w:fill="FFFFFF"/>
        <w:ind w:left="-142"/>
        <w:jc w:val="both"/>
        <w:rPr>
          <w:spacing w:val="-1"/>
          <w:sz w:val="28"/>
          <w:szCs w:val="28"/>
        </w:rPr>
      </w:pPr>
    </w:p>
    <w:p w:rsidR="00C85B7E" w:rsidRDefault="00C85B7E" w:rsidP="00C85B7E">
      <w:pPr>
        <w:shd w:val="clear" w:color="auto" w:fill="FFFFFF"/>
        <w:ind w:left="-142"/>
        <w:jc w:val="both"/>
        <w:rPr>
          <w:spacing w:val="-1"/>
          <w:sz w:val="28"/>
          <w:szCs w:val="28"/>
        </w:rPr>
      </w:pPr>
    </w:p>
    <w:p w:rsidR="00C85B7E" w:rsidRDefault="00C85B7E" w:rsidP="00C85B7E">
      <w:pPr>
        <w:shd w:val="clear" w:color="auto" w:fill="FFFFFF"/>
        <w:ind w:left="-142"/>
        <w:jc w:val="both"/>
        <w:rPr>
          <w:spacing w:val="-1"/>
          <w:sz w:val="28"/>
          <w:szCs w:val="28"/>
        </w:rPr>
      </w:pPr>
    </w:p>
    <w:p w:rsidR="00B9680D" w:rsidRPr="00A95D45" w:rsidRDefault="001E14BB" w:rsidP="00A95D45">
      <w:pPr>
        <w:shd w:val="clear" w:color="auto" w:fill="FFFFFF"/>
        <w:ind w:left="-14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Проект постановления подготов</w:t>
      </w:r>
      <w:r w:rsidR="00D60982">
        <w:rPr>
          <w:spacing w:val="-1"/>
          <w:sz w:val="28"/>
          <w:szCs w:val="28"/>
        </w:rPr>
        <w:t xml:space="preserve">ил </w:t>
      </w:r>
      <w:r w:rsidR="00D60982">
        <w:rPr>
          <w:sz w:val="28"/>
          <w:szCs w:val="28"/>
        </w:rPr>
        <w:t>главный</w:t>
      </w:r>
      <w:r>
        <w:rPr>
          <w:sz w:val="28"/>
          <w:szCs w:val="28"/>
        </w:rPr>
        <w:t xml:space="preserve"> специалист отдела жилищно-коммунального хозяйства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                    </w:t>
      </w:r>
      <w:r w:rsidR="00D6098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D60982">
        <w:rPr>
          <w:sz w:val="28"/>
          <w:szCs w:val="28"/>
        </w:rPr>
        <w:t>Н.В.Петрова</w:t>
      </w:r>
      <w:bookmarkStart w:id="0" w:name="_GoBack"/>
      <w:bookmarkEnd w:id="0"/>
      <w:proofErr w:type="spellEnd"/>
    </w:p>
    <w:sectPr w:rsidR="00B9680D" w:rsidRPr="00A9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0883"/>
    <w:multiLevelType w:val="hybridMultilevel"/>
    <w:tmpl w:val="6EE4AF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614" w:hanging="360"/>
      </w:pPr>
    </w:lvl>
    <w:lvl w:ilvl="2" w:tplc="0419001B">
      <w:start w:val="1"/>
      <w:numFmt w:val="lowerRoman"/>
      <w:lvlText w:val="%3."/>
      <w:lvlJc w:val="right"/>
      <w:pPr>
        <w:ind w:left="3334" w:hanging="180"/>
      </w:pPr>
    </w:lvl>
    <w:lvl w:ilvl="3" w:tplc="0419000F">
      <w:start w:val="1"/>
      <w:numFmt w:val="decimal"/>
      <w:lvlText w:val="%4."/>
      <w:lvlJc w:val="left"/>
      <w:pPr>
        <w:ind w:left="4054" w:hanging="360"/>
      </w:pPr>
    </w:lvl>
    <w:lvl w:ilvl="4" w:tplc="04190019">
      <w:start w:val="1"/>
      <w:numFmt w:val="lowerLetter"/>
      <w:lvlText w:val="%5."/>
      <w:lvlJc w:val="left"/>
      <w:pPr>
        <w:ind w:left="4774" w:hanging="360"/>
      </w:pPr>
    </w:lvl>
    <w:lvl w:ilvl="5" w:tplc="0419001B">
      <w:start w:val="1"/>
      <w:numFmt w:val="lowerRoman"/>
      <w:lvlText w:val="%6."/>
      <w:lvlJc w:val="right"/>
      <w:pPr>
        <w:ind w:left="5494" w:hanging="180"/>
      </w:pPr>
    </w:lvl>
    <w:lvl w:ilvl="6" w:tplc="0419000F">
      <w:start w:val="1"/>
      <w:numFmt w:val="decimal"/>
      <w:lvlText w:val="%7."/>
      <w:lvlJc w:val="left"/>
      <w:pPr>
        <w:ind w:left="6214" w:hanging="360"/>
      </w:pPr>
    </w:lvl>
    <w:lvl w:ilvl="7" w:tplc="04190019">
      <w:start w:val="1"/>
      <w:numFmt w:val="lowerLetter"/>
      <w:lvlText w:val="%8."/>
      <w:lvlJc w:val="left"/>
      <w:pPr>
        <w:ind w:left="6934" w:hanging="360"/>
      </w:pPr>
    </w:lvl>
    <w:lvl w:ilvl="8" w:tplc="0419001B">
      <w:start w:val="1"/>
      <w:numFmt w:val="lowerRoman"/>
      <w:lvlText w:val="%9."/>
      <w:lvlJc w:val="right"/>
      <w:pPr>
        <w:ind w:left="76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7F"/>
    <w:rsid w:val="001E14BB"/>
    <w:rsid w:val="00A95D45"/>
    <w:rsid w:val="00AE51A1"/>
    <w:rsid w:val="00C34400"/>
    <w:rsid w:val="00C85B7E"/>
    <w:rsid w:val="00D60982"/>
    <w:rsid w:val="00E0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9A3A8-E97F-44AC-89BE-BBD98C9B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4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E14B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14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1E14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D60982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D60982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60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walexandrovsk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Селеменева Татьяна</dc:creator>
  <cp:keywords/>
  <dc:description/>
  <cp:lastModifiedBy>Селеменева Татьяна</cp:lastModifiedBy>
  <cp:revision>5</cp:revision>
  <dcterms:created xsi:type="dcterms:W3CDTF">2025-03-20T11:09:00Z</dcterms:created>
  <dcterms:modified xsi:type="dcterms:W3CDTF">2025-03-20T11:32:00Z</dcterms:modified>
</cp:coreProperties>
</file>