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E0A" w:rsidRPr="006405B4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124E0A" w:rsidRPr="006405B4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решени</w:t>
      </w:r>
      <w:r w:rsidR="0021504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Новоалександровского</w:t>
      </w:r>
    </w:p>
    <w:p w:rsidR="00124E0A" w:rsidRPr="006405B4" w:rsidRDefault="000E6C1C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«О бюджете</w:t>
      </w:r>
    </w:p>
    <w:p w:rsidR="00124E0A" w:rsidRPr="006405B4" w:rsidRDefault="00124E0A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124E0A" w:rsidRPr="006405B4" w:rsidRDefault="000E6C1C" w:rsidP="008F1B64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180C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Совета депутатов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«О бюджете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бюджете, бюджет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подготовлен в соответствии с требованиями </w:t>
      </w:r>
      <w:r w:rsidR="00F5180C" w:rsidRPr="006405B4">
        <w:rPr>
          <w:rFonts w:ascii="Times New Roman" w:eastAsia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бюджетном процессе в Новоалександровском </w:t>
      </w:r>
      <w:r w:rsidR="00340C1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утвержденного решением Совета депутатов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340C1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24 октября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340C1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340C1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16/691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Бюджетный кодекс,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бюджетном процессе).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проекта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были учтены Основные направления бюджетной и налоговой политики,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постановлением администрации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015AC0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015AC0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15AC0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Основные направления долговой политики, утвержденные постановлением администрации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от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1</w:t>
      </w:r>
      <w:r w:rsidR="00015AC0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4D8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 росту доходов, оптимизации расходов бюджета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AD73E2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сокращению муниципального долга Новоалександровского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AD73E2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на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D73E2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</w:t>
      </w:r>
      <w:r w:rsidR="006330B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Новоалександровского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3740B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330B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3740B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30B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3740B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330B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3740B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330B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827</w:t>
      </w:r>
      <w:r w:rsidR="003740B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24E0A" w:rsidRPr="006405B4" w:rsidRDefault="00124E0A" w:rsidP="003C00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Правовое регулирование вопросов, положенных 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в основу 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проекта решения о бюджете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подготовлен в соответствии с требованиями Бюджетн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Общие требования к структуре и содержанию проекта 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установлены статьей 184</w:t>
      </w:r>
      <w:r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применительно к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конкретизируются статьей 20 Положения о бюджетном процессе.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A96FE1" w:rsidRPr="006405B4">
        <w:rPr>
          <w:rFonts w:ascii="Times New Roman" w:eastAsia="Times New Roman" w:hAnsi="Times New Roman" w:cs="Times New Roman"/>
          <w:sz w:val="28"/>
          <w:szCs w:val="28"/>
        </w:rPr>
        <w:t>пункте 1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установлены: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1) общий объем доходов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5272C9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Кроме того, в соответствии с пунктом 3 статьи 184</w:t>
      </w:r>
      <w:r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в общем объеме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предусмотрены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 утвержденные расходы на первый год планового периода (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– в объеме не менее 2,5 процента общего объема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(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B7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 – в объеме не менее 5,0 процента общего объема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учета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2 и приложени</w:t>
      </w:r>
      <w:r w:rsidR="00D017E7" w:rsidRPr="006405B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1 проекта </w:t>
      </w:r>
      <w:r w:rsidR="00D017E7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бюджете, содержат данные об источниках финансирования дефицита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погашения долговых обязательств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Доходы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167BB9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(статья 39 Бюджетного кодекса).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 3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D017E7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предусматривает, согласно 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подпункту </w:t>
      </w:r>
      <w:r w:rsidR="00167BB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1 статьи 20 Положения о бюджетном процессе, 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утверждение приложени</w:t>
      </w:r>
      <w:r w:rsidR="00D017E7" w:rsidRPr="006405B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E7" w:rsidRPr="006405B4">
        <w:rPr>
          <w:rFonts w:ascii="Times New Roman" w:eastAsia="Times New Roman" w:hAnsi="Times New Roman" w:cs="Times New Roman"/>
          <w:sz w:val="28"/>
          <w:szCs w:val="28"/>
        </w:rPr>
        <w:t>2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которым доходы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распределяются 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группам, подгруппам и статьям классификации доходов бюджетов бюджетной классификации Российской Федерации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4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требованиями статьи 184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статьи 20 Положения о бюджетном процессе устанавливается объем межбюджетных трансфертов, получаемых из других бюджетов бюджетной системы Российской Федерации. 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Пунктами 5 - 8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требованиями статьи 184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и статьи 20 Положения о бюджетном процессе предлагается утвердить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главным распорядителям бюджетных средств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, которые приведены в приложени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бюджетов, которые приведены в приложени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221C" w:rsidRPr="006405B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E2E15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разделам, подразделам классификации расходов бюджетов, которые приведены в приложени</w:t>
      </w:r>
      <w:r w:rsidR="00BE2E15" w:rsidRPr="006405B4">
        <w:rPr>
          <w:rFonts w:ascii="Times New Roman" w:eastAsia="Times New Roman" w:hAnsi="Times New Roman" w:cs="Times New Roman"/>
          <w:sz w:val="28"/>
          <w:szCs w:val="28"/>
        </w:rPr>
        <w:t>и 5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BE2E15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бюджете;</w:t>
      </w:r>
    </w:p>
    <w:p w:rsidR="00124E0A" w:rsidRPr="006405B4" w:rsidRDefault="00124E0A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общий объем бюджетных ассигнований на исполнение публичных нормативных обязательств.</w:t>
      </w:r>
    </w:p>
    <w:p w:rsidR="00421103" w:rsidRPr="006405B4" w:rsidRDefault="00A96FE1" w:rsidP="00117F80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bCs/>
          <w:sz w:val="28"/>
          <w:szCs w:val="28"/>
        </w:rPr>
        <w:t>Пунктом 9</w:t>
      </w:r>
      <w:r w:rsidR="00124E0A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проекта </w:t>
      </w:r>
      <w:r w:rsidR="00BE2E15" w:rsidRPr="006405B4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>ешения о бюджете в соответствии с требованиями части 5 статьи 179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4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Бюджетного кодекса установлен объем бюджетных ассигнований дорожного фонда Новоалександровского муниципального округа Ставропольского края.</w:t>
      </w:r>
    </w:p>
    <w:p w:rsidR="00124E0A" w:rsidRPr="006405B4" w:rsidRDefault="00A96FE1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bCs/>
          <w:sz w:val="28"/>
          <w:szCs w:val="28"/>
        </w:rPr>
        <w:t>Пунктом 10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</w:t>
      </w:r>
      <w:r w:rsidR="00BE2E15" w:rsidRPr="006405B4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ешения о бюджете в соответствии со статьей 81 Бюджетного кодекса утверждается объем бюджетных ассигнований </w:t>
      </w:r>
      <w:r w:rsidR="00124E0A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резервного фонда администрации Новоалександровского </w:t>
      </w:r>
      <w:r w:rsidR="000E6C1C" w:rsidRPr="006405B4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117F80" w:rsidRPr="006405B4">
        <w:rPr>
          <w:rFonts w:ascii="Times New Roman" w:eastAsia="Times New Roman" w:hAnsi="Times New Roman" w:cs="Times New Roman"/>
          <w:bCs/>
          <w:sz w:val="28"/>
          <w:szCs w:val="28"/>
        </w:rPr>
        <w:t>, предусмотренный финансовому управлению администрации Новоалександровского муниципального округа Ставропольского края</w:t>
      </w:r>
      <w:r w:rsidR="00124E0A" w:rsidRPr="006405B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Пунктами 11 - 12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предлагается закрепить перечень приоритетных расходов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, финансирование которых должно осуществляться в 202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5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 периоде 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7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годов в первоочередном порядке, и установить, что г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лавные распорядители средств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направление средств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финансовое обеспечение данных приоритетных расходов в 202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124E0A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 13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стать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78 Бюджетного кодекса </w:t>
      </w:r>
      <w:r w:rsidR="007979BB" w:rsidRPr="006405B4">
        <w:rPr>
          <w:rFonts w:ascii="Times New Roman" w:eastAsia="Times New Roman" w:hAnsi="Times New Roman" w:cs="Times New Roman"/>
          <w:sz w:val="28"/>
          <w:szCs w:val="28"/>
        </w:rPr>
        <w:t>утверждаются бюджетные ассигнования на предоставление юридическим лицам (за исключением муниципальных учреждений), индивидуальным предпринимателям, физическим лицам субсидий (грантов в форме субсидий), в том числе предоставляемых на конкурсной основе на поддержку субъектов малого и среднего предпринимательства. Данные субсидии (гранты в форме субсидий)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, предоставляются</w:t>
      </w:r>
      <w:r w:rsidR="00C4510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из бюджета 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в порядке, устанавливаемом администрацией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края.</w:t>
      </w:r>
    </w:p>
    <w:p w:rsidR="003511AC" w:rsidRPr="006405B4" w:rsidRDefault="00A96FE1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 14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882F4C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в соответствии с пунктом 2 статьи 78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утверждаются бюджетные ассигнования на предоставление субсидий иным некоммерческим организациям, не 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являющимися муниципальными учреждениями на поддержку народных дружин из числа членов казачьих обществ, участвующих в охране общественного порядка на территории Новоалександровского муниципального </w:t>
      </w:r>
      <w:r w:rsidR="00882F4C" w:rsidRPr="006405B4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3511AC" w:rsidRPr="006405B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  <w:r w:rsidR="005D50E4" w:rsidRPr="006405B4">
        <w:rPr>
          <w:rFonts w:ascii="Times New Roman" w:eastAsia="Times New Roman" w:hAnsi="Times New Roman" w:cs="Times New Roman"/>
          <w:sz w:val="28"/>
          <w:szCs w:val="28"/>
        </w:rPr>
        <w:t>. Данные субсидии предоставляются в порядке, устанавливаемом администрацией Новоалександровского муниципального округа Ставропольского края.</w:t>
      </w:r>
    </w:p>
    <w:p w:rsidR="00124E0A" w:rsidRPr="006405B4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 15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реализованы требования пункта 3 статьи 217 Бюджетного кодекса, устанавливающего перечень оснований для внесения изменений в ходе исполнения бюджетов бюджетной системы Российской Федерации в показатели сводной бюджетной росписи.</w:t>
      </w:r>
    </w:p>
    <w:p w:rsidR="00124E0A" w:rsidRPr="006405B4" w:rsidRDefault="000F56A3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 17 - 18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669" w:rsidRPr="006405B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роекта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 определено, что остатки субсидий: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 в 202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муниципальным бюджетным учреждениям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финансовое обеспечение выполнения ими муниципального задания, образовавшиеся в связи с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достижением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бюджетными учреждениями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установленных муниципальным заданием показателей, характеризующих муниципальных услуг (работ), подлежат возврату в бюджет 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объемах, соответствующих недостигнутым показателям муниципального задания (с учетом допустимых (возможных) отклонений), до 1 марта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использованные по состоянию на 1 января 202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муниципальными бюджетными учреждениями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цели, не связанные с оказанием ими в соответствии с муниципальным заданием муниципальных услуг (выполнением работ), а также муниципальными бюджетными учреждениями 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на осуществление капитальных вложений в объекты капитального строительства муниципальной собственности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края, подлежат перечислению муниципальными бюджетными учреждениями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доход бюджета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15 марта 202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случае отсутствия подтвержденной потребности в направлении их на те же цели в соответствии с решением отраслевого органа администрации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3F166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1669" w:rsidRPr="006405B4" w:rsidRDefault="003F1669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субсидий, предоставленных на финансовое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атрат юридических лиц, индивидуальных предпринимателей, а также физических лиц - 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 w:rsidRPr="006405B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не использованные по состоянию на 1 января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подлежат перечислению данными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лицами в доход бюджета муниципального округа в срок до 15 марта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при отсутствии подтвержденной потребности в направлении таких остатков на те же цели в соответствии с решением администрации Новоалександровского муниципального округа Ставропольского края.</w:t>
      </w:r>
    </w:p>
    <w:p w:rsidR="00124E0A" w:rsidRPr="006405B4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Пунктом 19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в соответствии со статьей 242.26 Бюджетного кодекса предлагается установить, что 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казначейскому сопровождению, которое осуществляется территориальным органом Федерального казначейства, подлежат </w:t>
      </w:r>
      <w:r w:rsidR="00C1512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авансовые платежи по муниципальным контрактам (договорам) о поставке товаров, выполнении работ, оказании услуг, заключаемые на сумму более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1512C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0 000 000,00 рублей, источником финансового обеспечения исполнения которых являются средства бюджета муниципального округа.</w:t>
      </w:r>
    </w:p>
    <w:p w:rsidR="00124E0A" w:rsidRPr="006405B4" w:rsidRDefault="000F56A3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05B4">
        <w:rPr>
          <w:rFonts w:ascii="Times New Roman" w:eastAsia="Times New Roman" w:hAnsi="Times New Roman" w:cs="Times New Roman"/>
          <w:sz w:val="28"/>
          <w:szCs w:val="28"/>
        </w:rPr>
        <w:t>Пунктами 21 - 23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ешения о бюджете регулирует вопросы управления муниципальным долгом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в том числе предусматривает установление верхнего предела муниципального внутреннего долга (статья 107 Бюджетного кодекса), утверждение в соответствии с требованиями Бюджетного кодекса (статьи 110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110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2026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</w:rPr>
        <w:t>2027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программы муниципальных внутренних заимствований Новоалександровского </w:t>
      </w:r>
      <w:r w:rsidR="000E6C1C" w:rsidRPr="006405B4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(приложение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>6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 xml:space="preserve"> к проекту </w:t>
      </w:r>
      <w:r w:rsidR="003027CB" w:rsidRPr="006405B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4E0A" w:rsidRPr="006405B4">
        <w:rPr>
          <w:rFonts w:ascii="Times New Roman" w:eastAsia="Times New Roman" w:hAnsi="Times New Roman" w:cs="Times New Roman"/>
          <w:sz w:val="28"/>
          <w:szCs w:val="28"/>
        </w:rPr>
        <w:t>ешения о бюджете).</w:t>
      </w:r>
    </w:p>
    <w:p w:rsidR="00124E0A" w:rsidRPr="006405B4" w:rsidRDefault="00124E0A" w:rsidP="003C00ED">
      <w:pPr>
        <w:widowControl w:val="0"/>
        <w:suppressAutoHyphens/>
        <w:autoSpaceDE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4E0A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доходной части бюджета муниципального округа осуществляется </w:t>
      </w:r>
      <w:r w:rsidRPr="000A186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на основании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прогноза социально-экономического развития Новоалександровского муниципального округа Ставропольского края на 2025 год и плановый период 2026 и 2027 годов, </w:t>
      </w:r>
      <w:r w:rsidRPr="000A186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основных направлений бюджетной и налоговой политики Новоалександровского муниципального округа Ставропольского края на 2025 год и плановый период 2026 и 2027 годов, </w:t>
      </w:r>
      <w:r w:rsidRPr="000A18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прогнозов главных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доходов бюджета муниципального округа,</w:t>
      </w:r>
      <w:r w:rsidRPr="000A186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прогноза доходов</w:t>
      </w:r>
      <w:r w:rsidRPr="000A186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муниципального округа, рассчитанного министерством финансов Ставропольского края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на 2025 год и плановый период 2026 и 2027 годов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расчетов по распределению бюджетных средств на 2025год и плановый период 2026 и 2027 годов (далее - модели министерства финансов Ставропольского края) и оценки поступлений доходов в бюджет муниципального округа в 2024 году.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расчете прогнозируемого объема доходов бюджета муниципального округа на 2025 год и плановый период 2026 и 2027 годов учитывались следующие изменения законодательства Российской Федерации и законодательства Ставропольского края, вводимые и планируемые к введению в действие с 1 января 2025 года: 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прогрессивной шкалы налогообложения по налогу на доходы физических лиц;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индексация акцизных ставок на автомобильный бензин, дизельное топливо и моторные масла для дизельных и (или) карбюраторных (инжекторных) двигателей: 2025 год - на 4,7 %, 2026 - 2027 годы - на 4,0 %;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круга налогоплательщиков, применяющих упрощенную систему налогообложения, в связи с повышением предельных значений объема доходов, стоимости основных средств, средней численности работников в целях применения данного специального налогового режима;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продление до 1 января 2027 года действия нулевых ставок по УСН и патентной системе налогообложения для впервые зарегистрированных индивидуальных предпринимателей;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с 2025 года срока уплаты налога по патентной системе налогообложения (если срок окончания действия патента приходится на 31 декабря, уплата налога производится не позднее 28 декабря). 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>Общий объем доходов бюджета муниципального округа на 2025 год прогнозируется в объеме 2 413 888 552,33 рублей, на 2026 год – 2 422 537 288,46 рублей, на 2027 год – 2 104 566 810,15 рублей.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2025 год по сравнению с показателями, установленными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Совета депутатов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Новоалександровского муниципального округа Ставропольского края от 15 декабря 2023 года № 18/729 «O бюджете Новоалександровского муниципального округа Ставропольского края на 2025 год и плановый период 2026 и 2027 годов» (далее - решение № 18/729), увеличивается на 191 259 442,32 рублей или на 8,6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2026 год по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отношению к планируемым показателям на 2025 год увеличивается на 8 648 736,13 рублей или на 0,4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Прогнозируемый объем доходов бюджета муниципального округа на 2027 год по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отношению к планируемым показателям на 2026 год уменьшается на 317 970 478,32 рублей или на 13,1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>Доходы бюджета муниципального округа без учета безвозмездных поступлений на 2025 год прогнозируются в объеме 988 083 697,45 рублей, на 2026 год – 1 051 594 000,00 рублей, на 2027 год 1 099 584 081,38 рублей.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Прогнозируемый объем поступлений налоговых и неналоговых доходов бюджета муниципального округа: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2025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 сравнению с показателями на 2024 год, установленными решением 18/729, увеличивается на 166 803 091,05 рублей или на 20,3 процента;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год,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отношению к планируемым показателям на 2025 год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 на 63 510 302,55 рублей или на 6,4 процента;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2027 год по сравнению с показателями предыдущего года увеличивается на 47 990 081,38 рублей или на 4,6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A18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Налог на доходы физических лиц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Поступление налога на доходы физических лиц в бюджет муниципального округа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на 2025 год прогнозируется в объеме 486 612 000,00 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 на доходы физических лиц увеличивается на 37 091 540,00 рублей или на 8,3 процента. </w:t>
      </w:r>
    </w:p>
    <w:p w:rsidR="000A186B" w:rsidRPr="000A186B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>Общий объем налогового потенциала по налогу на доходы физических лиц соответствует п</w:t>
      </w:r>
      <w:r w:rsidRPr="000A186B">
        <w:rPr>
          <w:rFonts w:ascii="Times New Roman" w:hAnsi="Times New Roman" w:cs="Times New Roman"/>
          <w:sz w:val="28"/>
          <w:szCs w:val="28"/>
        </w:rPr>
        <w:t xml:space="preserve">рогнозу поступлений,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прогнозируемому моделью министерства финансов Ставропольского края, рассчитанной на основании прогноза Управления Федеральной налоговой службы по Ставропольскому краю.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налогового потенциала по налогу на доходы физических лиц (за исключением налога на доходы физических лиц в отношении доходов, указанных в абзацах тридцать пятом, тридцать шестом, тридцать девятом и пятьдесят седьмом статьи 50 и абзацах пятом, шестьдесят третьем - шестьдесят девятом пункта 2  статьи 56 Бюджетного кодекса Российской Федерации) по муниципальным образованиям края осуществляется по удельному весу налогооблагаемой базы (облагаемой суммы дохода) муниципального образования края в общей сумме налоговой базы за 2023 год (по данным формы № 7-НДФЛ за 2023 год УФНС России по краю), скорректированному на отклонение уровня собираемости НДФЛ по муниципальному образованию края от среднего уровня собираемости НДФЛ по муниципальным образованиям края, и с учетом корректирующего коэффициента, применяемого в случае, если темп роста налоговой базы по налогу на доходы физических лиц муниципального образования края за 2023 год по сравнению с 2022 годом превысил среднекраевой показатель. 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налогового потенциала по налогу на доходы физических лиц указанного в абзацах шестьдесят третьем - шестьдесят девятом пункта 2 статьи 56 Бюджетного кодекса Российской Федерации прогнозируется по каждой ставке прогрессивной шкалой налогообложения, в соответствии с прогнозными данными УФНС России по краю.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общем объеме налогового потенциала по данному налогу учитывается прогноз поступлений в виде фиксированных авансовых платежей с доходов, полученных физическими лицами, являющимися иностранными гражданами, осуществляющими деятельность по найму у физических лиц на основании патента в соответствии со статьей 227</w:t>
      </w:r>
      <w:r w:rsidRPr="000A186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 (по данным УФНС России по краю).</w:t>
      </w:r>
    </w:p>
    <w:p w:rsidR="000A186B" w:rsidRPr="000A186B" w:rsidRDefault="000A186B" w:rsidP="000A186B">
      <w:pPr>
        <w:spacing w:after="0" w:line="240" w:lineRule="auto"/>
        <w:ind w:firstLine="709"/>
        <w:jc w:val="both"/>
        <w:rPr>
          <w:sz w:val="28"/>
          <w:szCs w:val="28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186B">
        <w:rPr>
          <w:rFonts w:ascii="Times New Roman" w:hAnsi="Times New Roman" w:cs="Times New Roman"/>
          <w:sz w:val="28"/>
          <w:szCs w:val="28"/>
        </w:rPr>
        <w:t>орматив отчислений в бюджет муниципального округа на 2025-2027 годы по налогу на доходы физических лиц составляет 49,0 процентов за исключением доходов, указанных в абзацах тридцать пятом, тридцать шестом, тридцать девятом и пятьдесят седьмом статьи 50 и абзацах пятом, шестьдесят третьем - шестьдесят девятом пункта 2 статьи 56 Бюджетного кодекса Российской Федерации</w:t>
      </w:r>
      <w:r w:rsidRPr="000A186B">
        <w:rPr>
          <w:sz w:val="28"/>
          <w:szCs w:val="28"/>
        </w:rPr>
        <w:t>.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Замена дотации на дополнительный норматив отчислений по налогу на доходы физических лиц на 2025-2027 годы не предусмотрена.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налогу на доходы физических лиц в бюджет муниципального округа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512 441 000,00 рублей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5,3 процента выше прогнозных назначений на              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2027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536 229 000,00 рублей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4,6 процента выше прогнозных назначений на 2026 год.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Акцизы на нефтепродукты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Поступление акцизов на нефтепродукты, перераспределяемые через </w:t>
      </w:r>
      <w:r w:rsidRPr="000A186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Управление Федерального казначейства по Ставропольскому краю, в бюджет муниципального округа на 2025 год прогнозируется в объеме 37 078 060,00 рублей.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прогнозируемые поступления увеличиваются на 1 830 310,00 рублей или на 5,2 процента. 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Прогнозные показатели доходов бюджета муниципального округа по акцизам приняты на 2025 год в соответствии с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прогнозом поступлений,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представленным главным администратором доходов – Межрайонной ИФНС № 5 по Ставропольскому краю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2026-2027 годы принят прогноз поступлений из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модели министерства финансов Ставропольского края.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>В соответствии с подпунктом 3.1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исходя из зачисления в местные бюджеты 10 процентов доходов консолидированного бюджета от указанного налога.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Размер дифференцированного норматива отчислений в местный бюджет устанавливается Законом Ставропольского края «О бюджете Ставропольского края на 2025 год и плановый период 2026 и 2027 годов». На 2025-2027 годы Новоалександровскому муниципальному округу норматив установлен в размере 0,3652020 процента.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в бюджет муниципального округа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акцизов на нефтепродукты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38 077 340,00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2,7 процента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39 813 150,00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4,6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Налог, взимаемый в связи с применением упрощенной системы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налогообложения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Поступление налога, взимаемого в связи с применением упрощенной системы налогообложения, в бюджет муниципального округа на 2025 год прогнозируется в объеме 66 175 000,00. 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налогу,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взимаемому в связи с применением упрощенной системы налогообложения</w:t>
      </w: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19 154 000,00. рублей или на 40,7процента. 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налогового потенциала по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>налогу, взимаемого в связи с применением упрощенной системы налогообложения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соответствует модели министерства финансов Ставропольского края рассчитанной в соответствии с удельным весом налогооблагаемой базы Новоалександровского муниципального округа Ставропольского края в общей</w:t>
      </w:r>
      <w:r w:rsidRPr="000A186B">
        <w:rPr>
          <w:rFonts w:ascii="Times New Roman" w:hAnsi="Times New Roman" w:cs="Times New Roman"/>
          <w:spacing w:val="4"/>
          <w:sz w:val="28"/>
          <w:szCs w:val="28"/>
        </w:rPr>
        <w:t xml:space="preserve"> сумме налоговой базы (по данным формы</w:t>
      </w:r>
      <w:r w:rsidRPr="000A186B">
        <w:rPr>
          <w:rFonts w:ascii="Times New Roman" w:hAnsi="Times New Roman" w:cs="Times New Roman"/>
          <w:sz w:val="28"/>
          <w:szCs w:val="28"/>
        </w:rPr>
        <w:t xml:space="preserve"> № 5-УСН за 2023 год УФНС России по Ставропольскому краю) с учетом нормативов отчислений в соответствии с Законом Ставропольского края </w:t>
      </w:r>
      <w:r w:rsidRPr="000A186B">
        <w:rPr>
          <w:rFonts w:ascii="Times New Roman" w:eastAsia="Calibri" w:hAnsi="Times New Roman" w:cs="Times New Roman"/>
          <w:sz w:val="28"/>
          <w:szCs w:val="28"/>
        </w:rPr>
        <w:t>от 13 октября 2011 г. № 77-кз «Об установлении нормативов отчислений в бюджеты муниципальных образований Ставропольского края от налогов, подлежащих зачислению в бюджет Ставропольского края» в размере 30,0 процентов.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налога, взимаемого в связи с применением упрощенной системы налогообложения в бюджет муниципального округа на 2026 год, прогнозируется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72 146 000,00 рублей или на 9,0 процента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78 537 000,00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8,9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Единый сельскохозяйственный налог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е</w:t>
      </w:r>
      <w:r w:rsidRPr="000A1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диного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сельскохозяйственного налога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2025 год прогнозируется в объеме 135 379 570,00 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показателями бюджета муниципального округа на 2024 год, установленными Решением № 18/729 прогнозируемый объем поступлений по единому сельскохозяйственному налогу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41 832 780,00 рублей или на 44,7 процента.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налогового потенциала по единому сельскохозяйственному налогу соответствует базовому методу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социально-экономического развития Новоалександровского муниципального округа Ставропольского края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 год и плановый период 2026 и 2027 годов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рассчитанный по методу усреднения</w:t>
      </w:r>
      <w:r w:rsidRPr="000A186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налоговой базы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№ 5-ЕСХН УФНС России по краю за 3 предшествующих года.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отметить, что в соответствии с пунктом 5 статьи 346 Налогового кодекса Российской Федерации налоговая база по единому сельскохозяйственному налогу уменьшается на сумму убытков, полученных налогоплательщиками по итогам предыдущих налоговых периодов.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Норматив отчислений по единому сельскохозяйственному налогу в бюджет муниципального округа составляет 100 процентов.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е</w:t>
      </w:r>
      <w:r w:rsidRPr="000A18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диного сельскохозяйственного налога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бюджет муниципального округа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146 174 000,00 рублей или на 8,0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158 250 000,00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8,3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Налог, взимаемый в связи с применением патентной системы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налогообложения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налога, взимаемого в связи с применением патентной системы налогообложения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2025 год, прогнозируется в объеме 15 779 000,00 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налогу,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взимаемому в связи с применением упрощенной системы налогообложения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7 255 000,00 рублей или на 85,1 процента. </w:t>
      </w:r>
    </w:p>
    <w:p w:rsidR="000A186B" w:rsidRPr="000A186B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налога, взимаемого в связи с применением патентной системы налогообложения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 прогноз поступлений,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прогнозируемый моделью министерства финансов Ставропольского края, рассчитанной на основании прогноза Управления Федеральной налоговой службы по Ставропольскому краю.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Норматив отчислений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налога, взимаемого в связи с применением патентной системы налогообложения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 муниципального округа,</w:t>
      </w:r>
      <w:r w:rsidRPr="000A186B">
        <w:rPr>
          <w:rFonts w:ascii="Times New Roman" w:hAnsi="Times New Roman" w:cs="Times New Roman"/>
          <w:sz w:val="28"/>
          <w:szCs w:val="28"/>
        </w:rPr>
        <w:t xml:space="preserve"> составляет 100 процентов.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поступлений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налога, взимаемого в связи с применением патентной системы налогообложения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бюджет муниципального округа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на 2026 год 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17 830 000,00 рублей или на 13,0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19 610000,00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10,0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Налог на имущество физических лиц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налога на имущество физических лиц в бюджет муниципального округа на 2025 год прогнозируется в объеме 30 149 000,00 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поступлений по налогу на имущество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физических лиц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увеличивается на 6 030 000,00 рублей или на 25,0 процента. </w:t>
      </w:r>
    </w:p>
    <w:p w:rsidR="000A186B" w:rsidRPr="000A186B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налога, на имущество физических лиц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 прогноз поступлений, </w:t>
      </w:r>
      <w:r w:rsidRPr="000A186B">
        <w:rPr>
          <w:rFonts w:ascii="Times New Roman" w:hAnsi="Times New Roman" w:cs="Times New Roman"/>
          <w:sz w:val="28"/>
          <w:szCs w:val="28"/>
        </w:rPr>
        <w:t>представленный главным администратором доходов – Межрайонной ИФНС№5 по Ставропольскому краю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lastRenderedPageBreak/>
        <w:t>Налог на имущество физических лиц является местным налогом и норматив отчислений в бюджет муниципального округа составляет 100 процентов. В основу расчета налогового потенциала по налогу на имущество физических лиц осуществлялся с использованием данных о налоговой базе (кадастровой стоимости объектов налогообложения, сложившейся в прошлых периодах, с использованием расчетных ставок и уровня собираемости.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налога на имущество физических лиц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бюджет муниципального округа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30 181 000,00 рублей или на 0,1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30 212 000,00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0,1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Земельный налог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земельного налога в бюджет муниципального округа на 2025 год прогнозируется в объеме 103 196 000,00 рублей.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По сравнению с показателями бюджета муниципального округа на 2024 год, установленными Решением № 18/729 прогнозируемый объем поступлений по земельному налогу увеличивается на 7 847 000,00 рублей или на 8,2 процента.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основу расчета земельного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налога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 прогноз поступлений, из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модели министерства финансов Ставропольского края. 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налогового потенциала по земельному налогу по муниципальным образованиям края осуществляется по удельному весу исчисленной суммы налога муниципального образования края (по данным формы № 5-МН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2023 год УФНС России по краю) в общей сумме прогноза поступления данного налога, сформированного главным администратором доходов, с учетом </w:t>
      </w:r>
      <w:r w:rsidRPr="000A186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коэффициента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ставок по земельному налогу по Новоалександровскому муниципальному округу в соответствующем финансовом год</w:t>
      </w:r>
    </w:p>
    <w:p w:rsidR="000A186B" w:rsidRPr="000A186B" w:rsidRDefault="000A186B" w:rsidP="000A186B">
      <w:pPr>
        <w:spacing w:after="120" w:line="240" w:lineRule="auto"/>
        <w:ind w:right="-5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</w:t>
      </w:r>
      <w:r w:rsidRPr="000A1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местным налогом и норматив отчислений в бюджет муниципального округа составляет 100 процентов.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земельного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бюджет муниципального округа на 2026 год прогнозируется в объеме 107 900 000,00 рублей или на 4,6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112 770 000,000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4,5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Государственная пошлина</w:t>
      </w: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Поступление государственной пошлины в бюджет муниципального округа на 2025 год прогнозируется в объеме 6 616 000,00 рублей.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установленными Решением № 18/729 прогнозируемый объем поступлений государственной пошлины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увеличивается на 186 00,00 рублей или на 2,9 процента.</w:t>
      </w:r>
    </w:p>
    <w:p w:rsidR="000A186B" w:rsidRPr="000A186B" w:rsidRDefault="000A186B" w:rsidP="000A186B">
      <w:pPr>
        <w:tabs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В основу расчета государственной пошлины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 прогноз поступлений, </w:t>
      </w:r>
      <w:r w:rsidRPr="000A186B">
        <w:rPr>
          <w:rFonts w:ascii="Times New Roman" w:hAnsi="Times New Roman" w:cs="Times New Roman"/>
          <w:sz w:val="28"/>
          <w:szCs w:val="28"/>
        </w:rPr>
        <w:t>представленный главным администратором доходов – Межрайонной ИФНС№5 по Ставропольскому краю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Прогноз осуществлен в соответствии с действующим законодательством Российской Федерации о налогах и сборах и рассчитан с учетом сложившегося темпа роста. </w:t>
      </w:r>
    </w:p>
    <w:p w:rsidR="000A186B" w:rsidRP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Норматив отчислений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государственной пошлины по делам, рассматриваемым судами общей юрисдикции, мировыми судьями (за исключением Верховного Суда Российской Федерации)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бюджет муниципального округа,</w:t>
      </w:r>
      <w:r w:rsidRPr="000A186B">
        <w:rPr>
          <w:rFonts w:ascii="Times New Roman" w:hAnsi="Times New Roman" w:cs="Times New Roman"/>
          <w:sz w:val="28"/>
          <w:szCs w:val="28"/>
        </w:rPr>
        <w:t xml:space="preserve"> составляет 100 процентов.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государственной пошлины в бюджет муниципального округа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прогнозируется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6 702 000,00 рублей или на 1,3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6 789 000,00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1,3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Доходы, получаемые в виде арендной платы</w:t>
      </w:r>
    </w:p>
    <w:p w:rsidR="000A186B" w:rsidRPr="000A186B" w:rsidRDefault="000A186B" w:rsidP="000A186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за земельные участки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доходов, получаемых в виде арендной платы за земельные участки на 2025- 2027 годы прогнозируются в сумме 42 270 000,00 рублей ежегодно.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получаемых в виде арендной платы за земельные участки,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5 903 000,00 рублей или на 16,2 процента.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186B" w:rsidRPr="000A186B" w:rsidRDefault="000A186B" w:rsidP="000A186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доходов бюджета муниципального округа от арендной платы за земельные участки на 2025 год и плановый период 2026 и 2027 годов определяется на основе начисленных сумм арендной платы за земельные участки главными администраторами доходов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министерства имущественных отношений Ставропольского края, управления имущественных отношений администрации Новоалександровского муниципального округа Ставропольского края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, фактических поступлений за 2023 год и 6 месяцев 2024 года, темпов роста поступлений за 6 месяцев 2024 года, с учетом результатов согласования исходных данных для проведения расчетов по распределению бюджетных средств на 2025-2027 годы.</w:t>
      </w:r>
    </w:p>
    <w:p w:rsidR="000A186B" w:rsidRPr="000A186B" w:rsidRDefault="000A186B" w:rsidP="000A18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Норматив зачисления в бюджет муниципального округа доходов, получаемым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 от продажи права на заключение договоров аренды указанных земельных участков и  </w:t>
      </w:r>
      <w:r w:rsidRPr="000A186B">
        <w:rPr>
          <w:rFonts w:ascii="Times New Roman" w:hAnsi="Times New Roman" w:cs="Times New Roman"/>
          <w:iCs/>
          <w:sz w:val="28"/>
          <w:szCs w:val="28"/>
        </w:rPr>
        <w:t xml:space="preserve">доходов, </w:t>
      </w:r>
      <w:r w:rsidRPr="000A186B">
        <w:rPr>
          <w:rFonts w:ascii="Times New Roman" w:hAnsi="Times New Roman" w:cs="Times New Roman"/>
          <w:iCs/>
          <w:sz w:val="28"/>
          <w:szCs w:val="28"/>
        </w:rPr>
        <w:lastRenderedPageBreak/>
        <w:t>получаемых в виде арендной платы, а также средств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учреждений), составляет 100 процентов.</w:t>
      </w:r>
    </w:p>
    <w:p w:rsidR="000A186B" w:rsidRPr="000A186B" w:rsidRDefault="000A186B" w:rsidP="000A186B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от сдачи в аренду имущества</w:t>
      </w:r>
    </w:p>
    <w:p w:rsidR="000A186B" w:rsidRPr="000A186B" w:rsidRDefault="000A186B" w:rsidP="000A186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в бюджет муниципального округа доходов от сдачи в аренду имущества, прогнозируется на 2025 год в объеме 3 509 000,00 рублей.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от сдачи в аренду имущества,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1 570 020,00 рублей или на 81,00 процента.</w:t>
      </w: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доходов от сдачи в аренду имущества, принят прогноз поступлений, рассчитанный главными администраторами доходов бюджета муниципального округа – управлением имущественных отношений администрации Новоалександровского муниципального округа Ставропольского края, администрацией Новоалександровского муниципального округа Ставропольского края.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сдачи в аренду имущества в бюджет муниципального округа на 2026 год прогнозируется в объеме 3 609 000,00 рублей или на 2,9 процента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прогнозных назначений на 2025 год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3 694 000,00 рублей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 2,4 процента выше прогнозных назначений на 2026 год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A186B" w:rsidRPr="000A186B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A186B">
        <w:rPr>
          <w:rFonts w:ascii="Times New Roman" w:hAnsi="Times New Roman" w:cs="Times New Roman"/>
          <w:b/>
          <w:spacing w:val="-4"/>
          <w:sz w:val="28"/>
          <w:szCs w:val="28"/>
        </w:rPr>
        <w:t>Плата за негативное воздействие на окружающую среду</w:t>
      </w:r>
    </w:p>
    <w:p w:rsidR="000A186B" w:rsidRPr="000A186B" w:rsidRDefault="000A186B" w:rsidP="000A186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п</w:t>
      </w:r>
      <w:r w:rsidRPr="000A186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латы за негативное воздействие на окружающую среду в бюджет муниципального округа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2025-2027 годы прогнозируется в сумме 238 230,00 рублей, ежегодно.</w:t>
      </w: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Прогноз доходов рассчитан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администратором доходов бюджета муниципального округа -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Северо-Кавказским межрегиональным управлением Федеральной службы по надзору в сфере природопользования.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A186B">
        <w:rPr>
          <w:rFonts w:ascii="Times New Roman" w:hAnsi="Times New Roman" w:cs="Times New Roman"/>
          <w:sz w:val="28"/>
          <w:szCs w:val="28"/>
        </w:rPr>
        <w:t xml:space="preserve">Норматив зачисления платы за негативное воздействие на окружающую среду в бюджет муниципального округа, в соответствии с Федеральным законом от 15 апреля 2019 года № 62-ФЗ «О внесении изменений в Бюджетный кодекс Российской Федерации» составляет 60,0 процента.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Доходы от оказания платных услуг (работ)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компенсации затрат государства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Поступление в бюджет муниципального округа доходов от оказания платных услуг и компенсации затрат государства на 2025 год прогнозируется в объеме 37 273 327,15 рублей.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от оказания платных услуг и компенсации затрат государства,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20 598 927,73 рублей или в 2,2 раза.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основу расчета по доходам от оказания платных услуг и компенсации затрат государства, принят прогноз, рассчитанный главными администраторами доходов бюджета муниципального округа –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ar-SA"/>
        </w:rPr>
        <w:t>отраслевыми отделами администрации Новоалександровского муниципального округа Ставропольского края.</w:t>
      </w:r>
      <w:r w:rsidRPr="000A186B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оказания платных услуг и компенсации затрат государства в бюджет муниципального округа на 2026 год прогнозируется в объеме 37 277 427,15 рублей,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37 281 187,15 рублей.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Доходы от продажи материальных и нематериальных активов</w:t>
      </w:r>
    </w:p>
    <w:p w:rsidR="000A186B" w:rsidRPr="000A186B" w:rsidRDefault="000A186B" w:rsidP="000A18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Calibri"/>
          <w:color w:val="000000" w:themeColor="text1"/>
          <w:sz w:val="28"/>
          <w:szCs w:val="28"/>
          <w:lang w:eastAsia="ar-SA"/>
        </w:rPr>
        <w:t>Поступление в бюджет муниципального округа доходов от продажи материальных и нематериальных активов на 2025 год прогнозируется в объеме 17 574 996,30 рублей.</w:t>
      </w: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доходов от сдачи в аренду имущества, принят прогноз поступлений, рассчитанный главным администратором доходов бюджета муниципального округа – управлением имущественных отношений администрации Новоалександровского муниципального округа Ставропольского края.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Поступление доходов от продажи материальных и нематериальных активов в бюджет муниципального округа на 2026 год прогнозируется в объеме 35 000 002,85 рублей,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в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32 142 514,23 рублей.</w:t>
      </w:r>
    </w:p>
    <w:p w:rsidR="000A186B" w:rsidRPr="000A186B" w:rsidRDefault="000A186B" w:rsidP="000A186B">
      <w:pPr>
        <w:numPr>
          <w:ilvl w:val="0"/>
          <w:numId w:val="2"/>
        </w:numPr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numPr>
          <w:ilvl w:val="0"/>
          <w:numId w:val="2"/>
        </w:numPr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Штрафы, санкции, возмещение ущерба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A186B" w:rsidRPr="000A186B" w:rsidRDefault="000A186B" w:rsidP="000A186B">
      <w:pPr>
        <w:numPr>
          <w:ilvl w:val="0"/>
          <w:numId w:val="2"/>
        </w:numPr>
        <w:tabs>
          <w:tab w:val="clear" w:pos="432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в бюджет муниципального округа доходов от штрафов, санкций, возмещения ущерба на 2025-2027 годы прогнозируется в объеме 1 748 000,00 рублей ежегодно.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доходов, штрафов, санкций, возмещения ущерба,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увеличивается на 207 328,02 рублей или на 13,5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расчета по доходам бюджета муниципального округа от штрафов, санкций, возмещения ущерба на 2025-2027 годы принят прогноз, рассчитанный главными администраторами доходов бюджета муниципального округа.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Прочие неналоговые доходы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Поступление в бюджет муниципального округа прочих неналоговых доходов на 2025 год прогнозируется в объеме 4 485 514,00 рублей.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прочих неналоговых доходов,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снижается на 362 001,00 рублей или на 7,5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основу расчета по прочим неналоговым доходам на 2025 год принят прогноз поступления безвозмездных </w:t>
      </w:r>
      <w:r w:rsidRPr="000A186B">
        <w:rPr>
          <w:rFonts w:ascii="Times New Roman" w:hAnsi="Times New Roman" w:cs="Times New Roman"/>
          <w:sz w:val="28"/>
          <w:szCs w:val="28"/>
        </w:rPr>
        <w:t xml:space="preserve">средств от физических лиц, индивидуальных предпринимателей и организаций, планирующих участвовать в реализации инициативных проектов,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>прошедших конкурсный отбор в соответствии со статьей 26.1 «Инициативные проекты» Федерального закона от 06.10.2003 года №131-ФЗ «Об общих принципах организации местного самоуправления в Российской Федерации».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2026-2027 годы объем поступлений в бюджет муниципального округа от прочих неналоговых доходов не прогнозируется. 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Безвозмездные поступления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бюджете муниципального округа на 2025 год предусмотрены в объеме </w:t>
      </w:r>
      <w:r w:rsidRPr="000A186B">
        <w:rPr>
          <w:rFonts w:ascii="Times New Roman" w:hAnsi="Times New Roman" w:cs="Times New Roman"/>
          <w:bCs/>
          <w:sz w:val="28"/>
          <w:szCs w:val="28"/>
        </w:rPr>
        <w:t xml:space="preserve">1 425 804 854,88 </w:t>
      </w:r>
      <w:r w:rsidRPr="000A186B">
        <w:rPr>
          <w:rFonts w:ascii="Times New Roman" w:hAnsi="Times New Roman" w:cs="Times New Roman"/>
          <w:sz w:val="28"/>
          <w:szCs w:val="28"/>
        </w:rPr>
        <w:t xml:space="preserve">рублей.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безвозмездных поступлений,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увеличивается на 24 456 351,27 рублей или на 1,8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Прогноз 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безвозмездных поступлений в бюджет муниципального округа сформирован в соответствии с проектом Закона Ставропольского края о бюджете Ставропольского края на 2025 год и плановый период 2026 и 2027 годов и соглашений с профильными министерствами Ставропольского края о выделении средств бюджету муниципального округа.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Безвозмездные поступления в бюджет муниципального округа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прогнозируются на 2026 год 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1 370 943 288,46 рублей, что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3,9 процента или 54 861 566,42 рублей ниже прогнозных показателей 2025 года,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1 004 982 728,77рублей,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26,7 процента или 365 960 559,69. рублей ниже прогнозных показателей 2026 года.</w:t>
      </w:r>
    </w:p>
    <w:p w:rsidR="000A186B" w:rsidRPr="006405B4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86B">
        <w:rPr>
          <w:color w:val="000000"/>
          <w:sz w:val="28"/>
          <w:szCs w:val="28"/>
        </w:rPr>
        <w:t xml:space="preserve"> Динамика доходов бюджета муниципального округа по безвозмездным поступлениям на 2025-2027 годы представлена в следующей таблице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F40" w:rsidRPr="006405B4" w:rsidRDefault="00C37F40" w:rsidP="00C37F40">
      <w:pPr>
        <w:pStyle w:val="a7"/>
        <w:spacing w:after="0"/>
        <w:ind w:firstLine="567"/>
        <w:contextualSpacing/>
        <w:jc w:val="both"/>
        <w:rPr>
          <w:color w:val="000000"/>
          <w:sz w:val="28"/>
          <w:szCs w:val="28"/>
        </w:rPr>
        <w:sectPr w:rsidR="00C37F40" w:rsidRPr="006405B4" w:rsidSect="00137921">
          <w:headerReference w:type="even" r:id="rId7"/>
          <w:headerReference w:type="default" r:id="rId8"/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p w:rsidR="00C37F40" w:rsidRPr="006405B4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405B4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C37F40" w:rsidRPr="006405B4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37F40" w:rsidRPr="006405B4" w:rsidRDefault="00C37F40" w:rsidP="00C37F40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5B4">
        <w:rPr>
          <w:rFonts w:ascii="Times New Roman" w:hAnsi="Times New Roman" w:cs="Times New Roman"/>
          <w:sz w:val="28"/>
          <w:szCs w:val="28"/>
        </w:rPr>
        <w:t>Динамика доходов бюджета Новоалександровского муниципального округа Ставропольского края</w:t>
      </w:r>
    </w:p>
    <w:p w:rsidR="00C37F40" w:rsidRPr="006405B4" w:rsidRDefault="00C37F40" w:rsidP="00C37F40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05B4">
        <w:rPr>
          <w:rFonts w:ascii="Times New Roman" w:hAnsi="Times New Roman" w:cs="Times New Roman"/>
          <w:sz w:val="28"/>
          <w:szCs w:val="28"/>
        </w:rPr>
        <w:t xml:space="preserve"> по безвозмездным поступлениям</w:t>
      </w:r>
    </w:p>
    <w:p w:rsidR="00C37F40" w:rsidRPr="006405B4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405B4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559" w:type="dxa"/>
        <w:tblLook w:val="04A0" w:firstRow="1" w:lastRow="0" w:firstColumn="1" w:lastColumn="0" w:noHBand="0" w:noVBand="1"/>
      </w:tblPr>
      <w:tblGrid>
        <w:gridCol w:w="3676"/>
        <w:gridCol w:w="1843"/>
        <w:gridCol w:w="1701"/>
        <w:gridCol w:w="1417"/>
        <w:gridCol w:w="1701"/>
        <w:gridCol w:w="1559"/>
        <w:gridCol w:w="1701"/>
        <w:gridCol w:w="1961"/>
      </w:tblGrid>
      <w:tr w:rsidR="000A186B" w:rsidRPr="000A186B" w:rsidTr="000A186B">
        <w:trPr>
          <w:trHeight w:val="315"/>
        </w:trPr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доходов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       на 2024 год    (решение №18/729  от 1512.2023 г.</w:t>
            </w:r>
          </w:p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36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</w:tr>
      <w:tr w:rsidR="000A186B" w:rsidRPr="000A186B" w:rsidTr="000A186B">
        <w:trPr>
          <w:trHeight w:val="615"/>
        </w:trPr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+;-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  +;-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     +;-</w:t>
            </w:r>
          </w:p>
        </w:tc>
      </w:tr>
      <w:tr w:rsidR="000A186B" w:rsidRPr="000A186B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A186B" w:rsidRPr="000A186B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1 392 788 503,61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1 425 804 854,88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33 016 351,27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1 370 943 288,46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-54 861 566,42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1 004 982 728,77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-365 960 559,69</w:t>
            </w:r>
          </w:p>
        </w:tc>
      </w:tr>
      <w:tr w:rsidR="000A186B" w:rsidRPr="000A186B" w:rsidTr="000A186B">
        <w:trPr>
          <w:trHeight w:val="60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73,31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0A186B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403 481 000,00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409 504 000,00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-165 698 000,00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204 181 000,00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-39 625 000,00</w:t>
            </w:r>
          </w:p>
        </w:tc>
      </w:tr>
      <w:tr w:rsidR="000A186B" w:rsidRPr="000A186B" w:rsidTr="000A186B">
        <w:trPr>
          <w:trHeight w:val="6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0A186B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215 877 628,69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236 656 423,53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20 778 794,84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327 799 106,58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91 142 683,05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28 349 708,45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-299 449 398,13</w:t>
            </w:r>
          </w:p>
        </w:tc>
      </w:tr>
      <w:tr w:rsidR="000A186B" w:rsidRPr="000A186B" w:rsidTr="000A186B">
        <w:trPr>
          <w:trHeight w:val="57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0A186B" w:rsidTr="000A186B">
        <w:trPr>
          <w:trHeight w:val="3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772 300 843,98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778 438 717,77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6 137 873,79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798 132 468,30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19 693 750,53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771 246 306,74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-26 886 161,56</w:t>
            </w:r>
          </w:p>
        </w:tc>
      </w:tr>
      <w:tr w:rsidR="000A186B" w:rsidRPr="000A186B" w:rsidTr="000A186B">
        <w:trPr>
          <w:trHeight w:val="61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96,63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A186B" w:rsidRPr="000A186B" w:rsidTr="000A186B">
        <w:trPr>
          <w:trHeight w:val="58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1 129 030,94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76 682,64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1 205 713,58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186B" w:rsidRPr="000A186B" w:rsidTr="000A186B">
        <w:trPr>
          <w:trHeight w:val="58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Темпы роста к предыдущему году, 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37F40" w:rsidRPr="006405B4" w:rsidRDefault="00C37F40" w:rsidP="00C37F40">
      <w:pPr>
        <w:spacing w:after="0" w:line="24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37F40" w:rsidRPr="006405B4" w:rsidRDefault="00C37F40" w:rsidP="00C37F40">
      <w:pPr>
        <w:pStyle w:val="a7"/>
        <w:spacing w:after="0"/>
        <w:ind w:firstLine="567"/>
        <w:contextualSpacing/>
        <w:jc w:val="both"/>
        <w:rPr>
          <w:sz w:val="28"/>
          <w:szCs w:val="28"/>
        </w:rPr>
        <w:sectPr w:rsidR="00C37F40" w:rsidRPr="006405B4" w:rsidSect="00CF14AD">
          <w:pgSz w:w="16838" w:h="11906" w:orient="landscape"/>
          <w:pgMar w:top="709" w:right="567" w:bottom="1134" w:left="567" w:header="709" w:footer="709" w:gutter="0"/>
          <w:cols w:space="708"/>
          <w:docGrid w:linePitch="360"/>
        </w:sectPr>
      </w:pPr>
    </w:p>
    <w:p w:rsidR="000A186B" w:rsidRPr="000A186B" w:rsidRDefault="000A186B" w:rsidP="000A186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lastRenderedPageBreak/>
        <w:t xml:space="preserve">В общем объёме доходов бюджета муниципального округа доля безвозмездных поступлений </w:t>
      </w:r>
      <w:r w:rsidRPr="000A186B">
        <w:rPr>
          <w:rFonts w:ascii="Times New Roman" w:hAnsi="Times New Roman" w:cs="Times New Roman"/>
          <w:bCs/>
          <w:sz w:val="28"/>
          <w:szCs w:val="28"/>
        </w:rPr>
        <w:t xml:space="preserve">от других бюджетов бюджетной системы Российской Федерации </w:t>
      </w:r>
      <w:r w:rsidRPr="000A186B">
        <w:rPr>
          <w:rFonts w:ascii="Times New Roman" w:hAnsi="Times New Roman" w:cs="Times New Roman"/>
          <w:sz w:val="28"/>
          <w:szCs w:val="28"/>
        </w:rPr>
        <w:t>в 2025 году составляет 59,0 процента, в 2026 году – 56,6 процента, в 2027 году – 47,7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В структуре безвозмездных поступлений на 2025 год прогнозируется поступление дотации на выравнивание бюджетной обеспеченности в объеме 409 504 000,00 рублей.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дотаций на выравнивание бюджетной обеспеченности,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увеличивается на 6 023 000,00 рублей или на 1,5 процента.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Поступление дотаций на выравнивание бюджетной обеспеченности в бюджет муниципального округа на 2026 год прогнозируется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                        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243 806 000,00 рублей,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204 181 000,00 рублей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доход бюджета муниципального округа прогнозируется поступление средств из краевого бюджета в виде субсидий и их общий объем на 2025 год составит 236 656 423,53 рублей,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2026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327 799 106,58 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рублей, н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2027 год </w:t>
      </w:r>
      <w:r w:rsidRPr="000A186B">
        <w:rPr>
          <w:rFonts w:ascii="Times New Roman" w:eastAsia="Times New Roman" w:hAnsi="Times New Roman" w:cs="Times New Roman"/>
          <w:color w:val="000000" w:themeColor="text1"/>
          <w:spacing w:val="-2"/>
          <w:sz w:val="28"/>
          <w:szCs w:val="28"/>
          <w:lang w:eastAsia="ru-RU"/>
        </w:rPr>
        <w:t xml:space="preserve">в объеме </w:t>
      </w:r>
      <w:r w:rsidRPr="000A186B">
        <w:rPr>
          <w:rFonts w:ascii="Times New Roman" w:eastAsia="Times New Roman" w:hAnsi="Times New Roman" w:cs="Times New Roman"/>
          <w:sz w:val="28"/>
          <w:szCs w:val="28"/>
          <w:lang w:eastAsia="ru-RU"/>
        </w:rPr>
        <w:t>28 349 708,45</w:t>
      </w:r>
      <w:r w:rsidRPr="000A18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рублей</w:t>
      </w:r>
      <w:r w:rsidRPr="000A1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 xml:space="preserve"> Информация по видам субсидий, выделяемых бюджету муниципального округа из бюджета Ставропольского края в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 2025-2027 годах представлена в следующей таблице.</w:t>
      </w:r>
    </w:p>
    <w:p w:rsidR="00DB772B" w:rsidRPr="006405B4" w:rsidRDefault="00DB772B" w:rsidP="000A186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390"/>
        <w:gridCol w:w="1701"/>
        <w:gridCol w:w="1701"/>
        <w:gridCol w:w="1559"/>
      </w:tblGrid>
      <w:tr w:rsidR="000A186B" w:rsidRPr="000A186B" w:rsidTr="00F4444F">
        <w:trPr>
          <w:trHeight w:val="30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Сумма по годам</w:t>
            </w:r>
          </w:p>
        </w:tc>
      </w:tr>
      <w:tr w:rsidR="000A186B" w:rsidRPr="000A186B" w:rsidTr="00F4444F">
        <w:trPr>
          <w:trHeight w:val="30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2027</w:t>
            </w:r>
          </w:p>
        </w:tc>
      </w:tr>
      <w:tr w:rsidR="000A186B" w:rsidRPr="000A186B" w:rsidTr="00F4444F">
        <w:trPr>
          <w:trHeight w:val="30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0A186B" w:rsidRPr="000A186B" w:rsidTr="00F4444F">
        <w:trPr>
          <w:trHeight w:val="3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Субсидии -всего: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236 656 423,53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327 799 106,58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28 349 708,45  </w:t>
            </w:r>
          </w:p>
        </w:tc>
      </w:tr>
      <w:tr w:rsidR="000A186B" w:rsidRPr="000A186B" w:rsidTr="00F4444F">
        <w:trPr>
          <w:trHeight w:val="4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в том числе на: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A186B" w:rsidRPr="000A186B" w:rsidTr="00F4444F">
        <w:trPr>
          <w:trHeight w:val="186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185 458 715,00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76 039 064,00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117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35 882 832,40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35 882 832,40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2 511 798,27</w:t>
            </w:r>
          </w:p>
        </w:tc>
      </w:tr>
      <w:tr w:rsidR="000A186B" w:rsidRPr="000A186B" w:rsidTr="00F4444F">
        <w:trPr>
          <w:trHeight w:val="6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517 846,14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1 921 580,03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1 921 580,03</w:t>
            </w:r>
          </w:p>
        </w:tc>
      </w:tr>
      <w:tr w:rsidR="000A186B" w:rsidRPr="000A186B" w:rsidTr="00F4444F">
        <w:trPr>
          <w:trHeight w:val="70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213 855 630,15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23 816 330,15</w:t>
            </w:r>
          </w:p>
        </w:tc>
      </w:tr>
      <w:tr w:rsidR="000A186B" w:rsidRPr="000A186B" w:rsidTr="00F4444F">
        <w:trPr>
          <w:trHeight w:val="8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0A186B" w:rsidRPr="000A186B" w:rsidTr="00F4444F">
        <w:trPr>
          <w:trHeight w:val="43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реализацию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13 889 529,99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6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 территорий муниципальных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807 500,00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C37F40" w:rsidRPr="006405B4" w:rsidRDefault="00C37F40" w:rsidP="00C37F4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субсидий 2025 года,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увеличивается на 20 778 794,84 рублей или на 9,6 процента, в виду того, что предусмотренная в бюджете Ставропольского края на 2025 год субсидия на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A186B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автомобильных дорог общего пользования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по сравнению с 2024 годом</w:t>
      </w:r>
      <w:r w:rsidRPr="000A186B">
        <w:rPr>
          <w:rFonts w:ascii="Times New Roman" w:hAnsi="Times New Roman" w:cs="Times New Roman"/>
          <w:sz w:val="28"/>
          <w:szCs w:val="28"/>
        </w:rPr>
        <w:t xml:space="preserve"> в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озросла в 2 раза, а такие субсидии как обеспечение деятельности центров образования цифрового и гуманитарного профилей «Точка роста»,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организациях,</w:t>
      </w:r>
      <w:r w:rsidRPr="000A186B">
        <w:t xml:space="preserve">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комплектование книжных фондов библиотек муниципальных образований, приобретение музыкальных инструментов для образовательных организаций дополнительного образования и формирование современной городской среды муниципальному округу не предусмотрены.</w:t>
      </w: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186B">
        <w:rPr>
          <w:rFonts w:ascii="Times New Roman" w:hAnsi="Times New Roman" w:cs="Times New Roman"/>
          <w:sz w:val="28"/>
          <w:szCs w:val="28"/>
        </w:rPr>
        <w:t>Поступление субвенций в бюджет муниципального округа прогнозируется на 2025 год в объеме 778 438 717,77 рублей, на 2026 год – 798 132 468,30 рублей, на 2027 год – 771 246 306,74 рублей. Информация по видам субвенций, переданных бюджету муниципального округа на выполнение передаваемых полномочий субъектов Российской Федерации в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 2025-2027 годах представлена в таблице.</w:t>
      </w:r>
    </w:p>
    <w:p w:rsidR="000A186B" w:rsidRPr="006405B4" w:rsidRDefault="000A186B" w:rsidP="000A186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4106"/>
        <w:gridCol w:w="1843"/>
        <w:gridCol w:w="1701"/>
        <w:gridCol w:w="1701"/>
      </w:tblGrid>
      <w:tr w:rsidR="000A186B" w:rsidRPr="000A186B" w:rsidTr="00F4444F">
        <w:trPr>
          <w:trHeight w:val="30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дохода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Сумма по годам</w:t>
            </w:r>
          </w:p>
        </w:tc>
      </w:tr>
      <w:tr w:rsidR="000A186B" w:rsidRPr="000A186B" w:rsidTr="00F4444F">
        <w:trPr>
          <w:trHeight w:val="30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2027</w:t>
            </w:r>
          </w:p>
        </w:tc>
      </w:tr>
      <w:tr w:rsidR="000A186B" w:rsidRPr="000A186B" w:rsidTr="00F4444F">
        <w:trPr>
          <w:trHeight w:val="30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186B" w:rsidRPr="000A186B" w:rsidRDefault="000A186B" w:rsidP="000A1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A186B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</w:tr>
      <w:tr w:rsidR="000A186B" w:rsidRPr="000A186B" w:rsidTr="00F4444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- всего: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227 594 911,32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295 554 517,62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270 223 930,56</w:t>
            </w:r>
          </w:p>
        </w:tc>
      </w:tr>
      <w:tr w:rsidR="000A186B" w:rsidRPr="000A186B" w:rsidTr="00F4444F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в том числе  на: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организацию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924 844,10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2 949 739,82</w:t>
            </w:r>
          </w:p>
        </w:tc>
      </w:tr>
      <w:tr w:rsidR="000A186B" w:rsidRPr="000A186B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организацию и проведение мероприятий по борьбе с иксодовыми клещами-переносчиками Крымской геморрагической лихорадки в природных биотопах (на пастбищах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57 240,53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администрирование переданных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2 840 988,67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государственной социальной помощи малоимущим семьям, малоимущим одиноко </w:t>
            </w: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проживающим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1 242 950,64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1 242 950,64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1 242 950,64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выплату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37 138 165,89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выплату ежегодного социального пособия на проезд студентам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136 453,71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147 588,26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153 491,55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1 278 038,45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1 366 342,26</w:t>
            </w:r>
          </w:p>
        </w:tc>
      </w:tr>
      <w:tr w:rsidR="000A186B" w:rsidRPr="000A186B" w:rsidTr="00F4444F">
        <w:trPr>
          <w:trHeight w:val="18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16 347 799,12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16 854 707,61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16 854 707,61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28 827 366,35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28 827 410,73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28 827 696,73</w:t>
            </w:r>
          </w:p>
        </w:tc>
      </w:tr>
      <w:tr w:rsidR="000A186B" w:rsidRPr="000A186B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0A186B" w:rsidRPr="000A186B" w:rsidTr="00F4444F">
        <w:trPr>
          <w:trHeight w:val="21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109 706 316,58</w:t>
            </w:r>
          </w:p>
        </w:tc>
      </w:tr>
      <w:tr w:rsidR="000A186B" w:rsidRPr="000A186B" w:rsidTr="00F4444F">
        <w:trPr>
          <w:trHeight w:val="3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</w:t>
            </w: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314 079 953,25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314 079 953,25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314 079 953,25</w:t>
            </w:r>
          </w:p>
        </w:tc>
      </w:tr>
      <w:tr w:rsidR="000A186B" w:rsidRPr="000A186B" w:rsidTr="00F4444F">
        <w:trPr>
          <w:trHeight w:val="21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выплату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9 784 418,22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14 131 285,93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13 272 228,15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11 710 464,36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организацию и обеспечение отдыха и оздоровления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7 332 733,48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1 162 219,01</w:t>
            </w:r>
          </w:p>
        </w:tc>
      </w:tr>
      <w:tr w:rsidR="000A186B" w:rsidRPr="000A186B" w:rsidTr="00F4444F">
        <w:trPr>
          <w:trHeight w:val="18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1 002 301,30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153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531 649,14</w:t>
            </w:r>
          </w:p>
        </w:tc>
      </w:tr>
      <w:tr w:rsidR="000A186B" w:rsidRPr="000A186B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7 002 138,00</w:t>
            </w:r>
          </w:p>
        </w:tc>
      </w:tr>
      <w:tr w:rsidR="000A186B" w:rsidRPr="000A186B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6 862 857,57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2 408 655,37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2 634 952,07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2 728 581,82</w:t>
            </w:r>
          </w:p>
        </w:tc>
      </w:tr>
      <w:tr w:rsidR="000A186B" w:rsidRPr="000A186B" w:rsidTr="00F4444F">
        <w:trPr>
          <w:trHeight w:val="12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15 805,80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160 920,00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15 128,10</w:t>
            </w:r>
          </w:p>
        </w:tc>
      </w:tr>
      <w:tr w:rsidR="000A186B" w:rsidRPr="000A186B" w:rsidTr="00F4444F">
        <w:trPr>
          <w:trHeight w:val="15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4 041 874,67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4 885 864,78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342 010,53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1 719 829,47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1 788 639,28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1 788 593,13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 xml:space="preserve">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34 970 272,11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34 418 351,99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34 418 351,99</w:t>
            </w:r>
          </w:p>
        </w:tc>
      </w:tr>
      <w:tr w:rsidR="000A186B" w:rsidRPr="000A186B" w:rsidTr="00F4444F">
        <w:trPr>
          <w:trHeight w:val="24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25 974 900,00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25 974 900,00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19 586 177,00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20 220 021,50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20 220 021,50</w:t>
            </w:r>
          </w:p>
        </w:tc>
      </w:tr>
      <w:tr w:rsidR="000A186B" w:rsidRPr="000A186B" w:rsidTr="00F4444F">
        <w:trPr>
          <w:trHeight w:val="129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456 915,41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457 639,53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457 639,53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социальной защите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101 714 284,95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104 762 088,31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103 274 848,94</w:t>
            </w:r>
          </w:p>
        </w:tc>
      </w:tr>
      <w:tr w:rsidR="000A186B" w:rsidRPr="000A186B" w:rsidTr="00F4444F">
        <w:trPr>
          <w:trHeight w:val="6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социальной поддержке семьи и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22 841 200,97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24 582 549,60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25 484 529,00</w:t>
            </w:r>
          </w:p>
        </w:tc>
      </w:tr>
      <w:tr w:rsidR="000A186B" w:rsidRPr="000A186B" w:rsidTr="00F4444F">
        <w:trPr>
          <w:trHeight w:val="9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социальной поддержке многодетных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68 666 452,56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86B" w:rsidRPr="000A186B" w:rsidRDefault="000A186B" w:rsidP="000A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A186B">
              <w:rPr>
                <w:rFonts w:ascii="Times New Roman" w:eastAsia="Times New Roman" w:hAnsi="Times New Roman" w:cs="Times New Roman"/>
                <w:lang w:eastAsia="ru-RU"/>
              </w:rPr>
              <w:t>74 492 088,02</w:t>
            </w:r>
          </w:p>
        </w:tc>
      </w:tr>
    </w:tbl>
    <w:p w:rsidR="00C37F40" w:rsidRPr="006405B4" w:rsidRDefault="00C37F40" w:rsidP="00DB772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186B" w:rsidRPr="000A186B" w:rsidRDefault="000A186B" w:rsidP="000A186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A186B">
        <w:rPr>
          <w:rFonts w:ascii="Times New Roman" w:hAnsi="Times New Roman" w:cs="Times New Roman"/>
          <w:color w:val="000000"/>
          <w:sz w:val="28"/>
          <w:szCs w:val="28"/>
        </w:rPr>
        <w:t xml:space="preserve">По сравнению с показателями бюджета муниципального округа на 2024 год, установленными Решением № 18/729 прогнозируемый объем </w:t>
      </w:r>
      <w:r w:rsidRPr="000A1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субвенций 2025 года, </w:t>
      </w:r>
      <w:r w:rsidRPr="000A186B">
        <w:rPr>
          <w:rFonts w:ascii="Times New Roman" w:hAnsi="Times New Roman" w:cs="Times New Roman"/>
          <w:color w:val="000000"/>
          <w:sz w:val="28"/>
          <w:szCs w:val="28"/>
        </w:rPr>
        <w:t>увеличивается на 6 137 873,7959 рублей или на 0,8 процента.</w:t>
      </w:r>
    </w:p>
    <w:p w:rsidR="00124E0A" w:rsidRPr="006405B4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86B">
        <w:rPr>
          <w:rFonts w:ascii="Times New Roman" w:hAnsi="Times New Roman" w:cs="Times New Roman"/>
          <w:sz w:val="28"/>
          <w:szCs w:val="28"/>
        </w:rPr>
        <w:t>Поступление иных межбюджетных трансфертов в бюджет муниципального округа на 2025 -2027 годы прогнозируется 1 205 713,58 рублей, ежегодно. Данные средства предусмотрены на обеспечение деятельности депутатов Думы Ставропольского края и их помощников в избирательном округе.</w:t>
      </w:r>
    </w:p>
    <w:p w:rsidR="000A186B" w:rsidRDefault="000A186B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4E0A" w:rsidRPr="006405B4" w:rsidRDefault="00124E0A" w:rsidP="000A186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</w:t>
      </w:r>
    </w:p>
    <w:p w:rsidR="00124E0A" w:rsidRPr="006405B4" w:rsidRDefault="00124E0A" w:rsidP="003C00E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объемы бюджетных ассигнований бюджета муниципального округа на реализацию муниципальных программ и направлений деятельности, не входящих в муниципальные программы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D41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годов,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сформированы с учетом следующих подходов. </w:t>
      </w:r>
    </w:p>
    <w:p w:rsidR="00716798" w:rsidRPr="006405B4" w:rsidRDefault="00716798" w:rsidP="00716798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базу для формирования бюджетных ассигнований принимаются расчётные показатели расходов  бюджета, утвержденные решением Совета депутатов Новоалександровского муниципального округа Ставропольского края от 1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729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Новоалександровского муниципального округа Ставропольского края на 202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годов», с учетом изменений объёмов и структуры базовых показателей согласованных с краевой межведомственной бюджетной комиссией при защите актов сверки исходных показателей для распределения межбюджетных трансфертов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716798" w:rsidRPr="006405B4" w:rsidRDefault="00716798" w:rsidP="0071679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средств на оплату труда 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работникам муниципальных учреждений культуры, педагогическим работникам муниципальных организаций дополнительного образования детей (в сфере образования, культуры), попадающих под действие указов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6405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2012 года</w:t>
        </w:r>
      </w:smartTag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9" w:history="1">
        <w:r w:rsidRPr="006405B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№ 597</w:t>
        </w:r>
      </w:hyperlink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мероприятиях по реализации государственной социальной политики» от 01 июня 2012 года № 761 «О национальной стратегии действий в интересах детей на 2012-2017 годы, формируются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 исходя их значения среднемесячного дохода от трудовой деятельности в 202</w:t>
      </w:r>
      <w:r w:rsidR="00E92E29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годах – 3</w:t>
      </w:r>
      <w:r w:rsidR="00E92E29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9 288,00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рубля. </w:t>
      </w:r>
    </w:p>
    <w:p w:rsidR="00716798" w:rsidRPr="006405B4" w:rsidRDefault="00716798" w:rsidP="0071679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Средства на оплату труда категорий работников бюджетной сферы, 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которые не подпадают под действие указов Президента РФ (далее – прочие категории работников), рассчитываются с учетом индексации с 01 </w:t>
      </w:r>
      <w:r w:rsidR="00E92E29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января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E92E29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на </w:t>
      </w:r>
      <w:r w:rsidR="00E92E29"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 процента.</w:t>
      </w:r>
    </w:p>
    <w:p w:rsidR="00E92E29" w:rsidRPr="006405B4" w:rsidRDefault="00716798" w:rsidP="00E92E2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оплату труда работников органов местного самоуправления предусматриваются с учетом индексации должностных окладов муниципальных служащих Новоалександровского муниципального округа Ставропольского края 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с 01 января 2024 года на 7,0 процента.</w:t>
      </w:r>
    </w:p>
    <w:p w:rsidR="00716798" w:rsidRPr="006405B4" w:rsidRDefault="00716798" w:rsidP="00E92E2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</w:t>
      </w:r>
      <w:r w:rsidRPr="00640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минимального размера оплаты труда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муниципальных учреждений и органов местного самоуправления </w:t>
      </w:r>
      <w:r w:rsidRPr="006405B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(младший обслуживающий персонал)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минимального размера оплаты труда </w:t>
      </w:r>
      <w:r w:rsidR="00E92E29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22 440,00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в месяц </w:t>
      </w:r>
      <w:r w:rsidRPr="006405B4">
        <w:rPr>
          <w:rFonts w:ascii="Times New Roman" w:eastAsia="Calibri" w:hAnsi="Times New Roman" w:cs="Times New Roman"/>
          <w:color w:val="000000"/>
          <w:sz w:val="28"/>
          <w:szCs w:val="28"/>
        </w:rPr>
        <w:t>с учетом обеспечения выплат работникам организаций, финансируемых из местных бюджетов, во исполнение постановления Конституционного Суда Российской Федерации от 11 апреля 2019 года № 17-П «По делу о проверке конституционности положений статьи 129, частей первой и третьей статьи 133, а также частей первой – четвертой и одиннадцатой статьи 133</w:t>
      </w:r>
      <w:r w:rsidRPr="006405B4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1</w:t>
      </w:r>
      <w:r w:rsidRPr="006405B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Трудового кодекса Российской Федерации в связи с жалобой гражданина С.Ф.Жарова»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798" w:rsidRPr="006405B4" w:rsidRDefault="00716798" w:rsidP="0071679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 определении размера фонда оплаты труда на </w:t>
      </w:r>
      <w:r w:rsidR="00565DF6"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2025</w:t>
      </w:r>
      <w:r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2026</w:t>
      </w:r>
      <w:r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2027</w:t>
      </w:r>
      <w:r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 тарифы страховых взносов сохраняются на уровне 30,2 процента.</w:t>
      </w:r>
    </w:p>
    <w:p w:rsidR="00716798" w:rsidRPr="006405B4" w:rsidRDefault="00D52CC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405B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Расходы на оплату коммунальных услуг сформированы с учетом роста тарифов с 01 июля 2025 года с коэффициентом роста в 2025 году - 1,0302; в 2026 и 2027 годах (с учетом досчета) – 1,0604.</w:t>
      </w:r>
    </w:p>
    <w:p w:rsidR="00576D41" w:rsidRPr="006405B4" w:rsidRDefault="00716798" w:rsidP="00D52C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развитие сети местных автомобильных дорог будут направлены средства дорожного фонда Новоалександровского муниципального округа, исходя в размере не менее прогнозируемого объема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муниципального округа, а также иных доходов</w:t>
      </w:r>
      <w:r w:rsidR="00576D41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6798" w:rsidRPr="006405B4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выплату компенсации стоимости санаторной путевки депутатам, членам выборных органов местного самоуправления, выборным должностным лицам местного самоуправления, осуществляющим свои полномочия на постоянной основе, муниципальным служащим муниципальной службы планируются </w:t>
      </w:r>
      <w:r w:rsidR="00D52C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стоимости санаторно-курортной путевки 80 000,00 рублей</w:t>
      </w:r>
    </w:p>
    <w:p w:rsidR="00D52CC8" w:rsidRPr="006405B4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бюджетных ассигнований на предоставление мер социальной поддержки по оплате жилья, коммунальных услуг или отдельных их видов работникам муниципальных учреждений культуры, искусства и кинематографии, работающим и проживающим в сельской местности, формируется исходя из:</w:t>
      </w:r>
    </w:p>
    <w:p w:rsidR="00D52CC8" w:rsidRPr="006405B4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 получателей указанных мер социальной поддержки по данным отчетов на 01 июля 2024 года;</w:t>
      </w:r>
    </w:p>
    <w:p w:rsidR="00D52CC8" w:rsidRPr="006405B4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расчетного размера ежемесячной денежной выплаты работникам муниципальных учреждений культуры, искусства и кинематографии, установленного на 2025 год в размере 933,60 рубля, на 2026 год – 970,95 рубля, на 2027 год – 1009,79 рублей;</w:t>
      </w:r>
    </w:p>
    <w:p w:rsidR="00D52CC8" w:rsidRPr="006405B4" w:rsidRDefault="00D52CC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 обеспечения расходов, связанных с перечислением, зачислением и доставкой ежемесячной денежной выплаты получателям указанных мер социальной поддержки (в пределах 1,5 процента размера ежемесячной денежной выплаты).</w:t>
      </w:r>
    </w:p>
    <w:p w:rsidR="00716798" w:rsidRPr="006405B4" w:rsidRDefault="00716798" w:rsidP="00D52CC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общих подходов годовые плановые назначения по расходам бюджета муниципального округа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составят </w:t>
      </w:r>
      <w:r w:rsidR="000570E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2 413 888 552,33</w:t>
      </w:r>
      <w:r w:rsidR="00D52C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570E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2 449 847 453,21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условно утвержденные расходы – </w:t>
      </w:r>
      <w:r w:rsidR="000570E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35 713 174,45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и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0E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2 155 539 007,60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условно утвержденные расходы –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0ED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70 446 338,50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муниципального округа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3629A4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 сбалансированным, на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запланирован 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дефицитом 27 310 164,75 рублей и 50 972 197,45 рублей соответственно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характеристики бюджета муниципального округа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представлены в таблице 3.</w:t>
      </w:r>
    </w:p>
    <w:p w:rsidR="00716798" w:rsidRPr="006405B4" w:rsidRDefault="00716798" w:rsidP="00716798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widowControl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58"/>
        <w:gridCol w:w="1260"/>
        <w:gridCol w:w="614"/>
        <w:gridCol w:w="945"/>
        <w:gridCol w:w="851"/>
        <w:gridCol w:w="78"/>
        <w:gridCol w:w="1874"/>
        <w:gridCol w:w="32"/>
        <w:gridCol w:w="1843"/>
      </w:tblGrid>
      <w:tr w:rsidR="00716798" w:rsidRPr="006405B4" w:rsidTr="00C048C6">
        <w:trPr>
          <w:trHeight w:val="945"/>
        </w:trPr>
        <w:tc>
          <w:tcPr>
            <w:tcW w:w="9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характеристики бюджета муниципального округа </w:t>
            </w:r>
            <w:r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565DF6"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</w:t>
            </w:r>
            <w:r w:rsidR="00565DF6"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565DF6"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Pr="006405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16798" w:rsidRPr="006405B4" w:rsidTr="00C048C6">
        <w:trPr>
          <w:trHeight w:val="70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716798" w:rsidRPr="006405B4" w:rsidTr="000F16ED">
        <w:trPr>
          <w:trHeight w:val="60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716798" w:rsidP="00C04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716798" w:rsidP="008F1B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</w:t>
            </w:r>
            <w:r w:rsidR="00DD37C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г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</w:t>
            </w:r>
            <w:r w:rsidR="008F1B64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D37C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ешение от 1</w:t>
            </w:r>
            <w:r w:rsidR="00DD37C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.12.202</w:t>
            </w:r>
            <w:r w:rsidR="00DD37C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№ </w:t>
            </w:r>
            <w:r w:rsidR="00DD37C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18/729)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  <w:r w:rsidR="0071679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  <w:r w:rsidR="0071679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565DF6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  <w:r w:rsidR="00716798"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(проект)</w:t>
            </w:r>
          </w:p>
        </w:tc>
      </w:tr>
      <w:tr w:rsidR="00716798" w:rsidRPr="006405B4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6798" w:rsidRPr="006405B4" w:rsidRDefault="00716798" w:rsidP="00C04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всего,</w:t>
            </w:r>
          </w:p>
          <w:p w:rsidR="00716798" w:rsidRPr="006405B4" w:rsidRDefault="00716798" w:rsidP="00C048C6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6405B4" w:rsidRDefault="00204A3D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2 222 629 110,01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6405B4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2 413 888 552,33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6405B4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2 422 537 288,46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798" w:rsidRPr="006405B4" w:rsidRDefault="00EA6965" w:rsidP="000F16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2 104 566 810,15</w:t>
            </w:r>
          </w:p>
        </w:tc>
      </w:tr>
      <w:tr w:rsidR="0042105A" w:rsidRPr="006405B4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5A" w:rsidRPr="006405B4" w:rsidRDefault="0042105A" w:rsidP="004210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всего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204A3D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2 222 629 110,01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2 413 888 552,33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2 449 847 453,21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EA6965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2 155 539 007,60</w:t>
            </w:r>
          </w:p>
        </w:tc>
      </w:tr>
      <w:tr w:rsidR="0042105A" w:rsidRPr="006405B4" w:rsidTr="000F16ED">
        <w:trPr>
          <w:trHeight w:val="540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105A" w:rsidRPr="006405B4" w:rsidRDefault="0042105A" w:rsidP="004210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42105A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42105A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5C4638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- 27 310 164,75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05A" w:rsidRPr="006405B4" w:rsidRDefault="005C4638" w:rsidP="0042105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-50 972 197,45</w:t>
            </w:r>
          </w:p>
        </w:tc>
      </w:tr>
    </w:tbl>
    <w:p w:rsidR="00716798" w:rsidRPr="006405B4" w:rsidRDefault="00716798" w:rsidP="00716798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Программная структура расходов бюджета муниципального округа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65DF6"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65DF6"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сформирован на основе 19 муниципальных программ, охватывающих основные сферы (направления) деятельности органов местного самоуправления муниципального округа и отраслевых (функциональных) и территориальных органов администрации муниципального округа.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муниципальных программ сформировано расходов в объеме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93EA1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2 386 478 106,67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– </w:t>
      </w:r>
      <w:r w:rsidR="00393EA1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2 399 919 703,81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2 070 768 464,40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в общей сумме расходов соответственно составляет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98,9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98,0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6C0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96,1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расходах бюджета муниципального округа на реализацию муниципальных программ и непрограммных мероприятий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представлена в таблице 4.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716798" w:rsidRPr="006405B4">
          <w:headerReference w:type="even" r:id="rId10"/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4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расходах бюджета муниципального округа на реализацию муниципальных программ и непрограммных мероприятий в 202</w:t>
      </w:r>
      <w:r w:rsidR="00DD37C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</w:t>
      </w:r>
    </w:p>
    <w:p w:rsidR="00F31984" w:rsidRPr="006405B4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984" w:rsidRPr="006405B4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2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397"/>
        <w:gridCol w:w="1395"/>
        <w:gridCol w:w="1396"/>
        <w:gridCol w:w="1254"/>
        <w:gridCol w:w="1316"/>
        <w:gridCol w:w="1391"/>
        <w:gridCol w:w="1378"/>
        <w:gridCol w:w="1257"/>
        <w:gridCol w:w="1378"/>
        <w:gridCol w:w="1310"/>
      </w:tblGrid>
      <w:tr w:rsidR="00202721" w:rsidRPr="006405B4" w:rsidTr="008F1B64">
        <w:trPr>
          <w:trHeight w:val="20"/>
        </w:trPr>
        <w:tc>
          <w:tcPr>
            <w:tcW w:w="1696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программы</w:t>
            </w:r>
          </w:p>
        </w:tc>
        <w:tc>
          <w:tcPr>
            <w:tcW w:w="1407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 (решение о бюджете № 18/729)</w:t>
            </w:r>
          </w:p>
        </w:tc>
        <w:tc>
          <w:tcPr>
            <w:tcW w:w="5403" w:type="dxa"/>
            <w:gridSpan w:val="4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4051" w:type="dxa"/>
            <w:gridSpan w:val="3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2701" w:type="dxa"/>
            <w:gridSpan w:val="2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2027 год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о бюджете № 18/729</w:t>
            </w:r>
          </w:p>
        </w:tc>
        <w:tc>
          <w:tcPr>
            <w:tcW w:w="1407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2590" w:type="dxa"/>
            <w:gridSpan w:val="2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Изменения,  рублей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решение о бюджете № 18/729</w:t>
            </w:r>
          </w:p>
        </w:tc>
        <w:tc>
          <w:tcPr>
            <w:tcW w:w="1388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1262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к решению о бюджете № 18/729</w:t>
            </w:r>
          </w:p>
        </w:tc>
        <w:tc>
          <w:tcPr>
            <w:tcW w:w="1389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 решения</w:t>
            </w:r>
          </w:p>
        </w:tc>
        <w:tc>
          <w:tcPr>
            <w:tcW w:w="1312" w:type="dxa"/>
            <w:vMerge w:val="restart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Изменения к предыдущему году, тыс. рублей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2024 году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 решению о бюджете № 18/729</w:t>
            </w:r>
          </w:p>
        </w:tc>
        <w:tc>
          <w:tcPr>
            <w:tcW w:w="1401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8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2" w:type="dxa"/>
            <w:vMerge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Муниципальная программа «Управление финансами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52 794 280,33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52 799 215,99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59 617 270,63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6 822 990,30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6 818 054,64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52 950 707,91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60 020 211,73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7 069 503,82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65 960 118,05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5 939 906,32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 Муниципальная программа «Развитие малого и среднего предпринимательства, потребительского рынка и инвестиционной деятельности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830 000,00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Муниципальная программа «Развитие культуры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219 844 150,82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217 110 330,44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267 275 875,75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47 431 724,93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50 165 545,31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230 441 471,11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260 814 731,57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30 373 260,46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261 553 810,79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739 079,22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4. Муниципальная программа «Реализация молодежной политики на территории Новоалександровского 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4 169 661,90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3 855 651,90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5 011 434,05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841 772,15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1 155 782,15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3 855 651,90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4 697 424,05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841 772,15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4 697 424,05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Муниципальная программа «Повышение роли физической культуры и спорта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62 539 328,95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63 408 664,96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68 050 634,57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5 511 305,62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4 641 969,61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64 376 827,93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68 464 112,87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4 087 284,94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69 131 032,69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666 919,82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 Муниципальная программа «Развитие системы образования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1 028 373 668,27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1 005 020 515,11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1 078 133 084,12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49 759 415,85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73 112 569,01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1 229 731 251,23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1 296 241 637,46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66 510 386,23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1 043 180 590,81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-253 061 046,65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 Муниципальная программа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18 458 912,79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17 562 941,08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24 847 209,78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6 388 296,99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7 284 268,70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17 572 394,97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19 249 077,25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1 676 682,28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18 717 324,63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-531 752,62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 Муниципальная программа «Развитие дорожной сети, обеспечение безопасности дорожного движения и транспортное обслуживание населения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141 671 710,54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134 250 758,76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257 608 098,10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115 936 387,56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123 357 339,34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42 980 808,76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119 625 536,33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76 644 727,57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44 896 375,41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-74 729 160,92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9. Муниципальная программа «Развитие сельского хозяйства в 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3 032 085,24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3 032 085,24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3 032 085,24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232 143,96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3 264 229,20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 Муниципальная программа  «Управление муниципальным имуществом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14 348 397,39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14 442 738,64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16 219 438,17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1 871 040,78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1 776 699,53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14 547 108,36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16 270 932,98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1 723 824,62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16 325 538,10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54 605,12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 Муниципальная программа «Социальная поддержка граждан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281 739 167,48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268 278 258,89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258 733 196,26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-23 005 971,22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-9 545 062,63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255 810 896,61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274 965 589,96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19 154 693,35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277 748 365,40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2 782 775,44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 Муниципальная программа  «Профилактика правонарушений, обеспечение общественного порядка, профилактика наркомании, профилактика идеологии терроризма и экстремизма, а также минимизация и (или) ликвидация его проявлений, гармонизация межнациональных отношений на территории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19 325 918,43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18 703 119,50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18 035 412,32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-1 290 506,11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-667 707,18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18 703 119,50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17 962 812,32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-740 307,18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17 962 812,32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13. Муниципальная программа «Благоустройство населенных пунктов 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Новоалександровского района и улучшение условий проживания населения»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126 554 461,85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75 569 249,24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101 296 365,19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-25 258 096,66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25 727 115,95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53 905 729,43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53 416 218,40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-489 511,03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45 929 253,19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-7 486 965,21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 Муниципальная программа «Формирование современной городской среды на территории Новоалександровского муниципального округа»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23 673 846,00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23 508 621,59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-165 224,41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23 508 621,59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 Муниципальная программа  «Развитие муниципальной службы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534 000,00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-58 102,00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475 898,00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16. Муниципальная программа  «Противодействие коррупции в Новоалександровском муниципальном округе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1 172 000,00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1 772 000,00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 Муниципальная программа  «Охрана окружающей среды»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18. Муниципальная программа  «Укрепление общественного здоровья на территории Новоалександровского муниципального </w:t>
            </w:r>
            <w:r w:rsidR="008F1B64"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19. Муниципальная программа «Развитие муниципального управления и снижение административных барьеров в  </w:t>
            </w: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Новоалександровского муниципального округа Ставропольского края»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178 437 705,71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179 160 140,40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201 799 338,94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23 361 633,23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22 639 198,54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180 172 144,41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201 849 291,69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21 677 147,28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198 323 691,76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-3 525 599,93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 по муниципальным программам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2 177 499 295,70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2 055 729 670,15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2 386 478 106,67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208 978 810,97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330 748 436,52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2 170 616 197,36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2 399 919 703,81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229 303 506,45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2 070 768 464,40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-329 151 239,41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мероприятия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45 129 814,31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26 721 955,62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27 410 445,66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-17 719 368,65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688 490,04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16 967 747,05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14 214 574,95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-2 753 172,10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14 324 204,70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109 629,75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39 048 658,91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-39 048 658,91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66 942 811,29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35 713 174,45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-31 229 636,84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70 446 338,50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34 733 164,05</w:t>
            </w:r>
          </w:p>
        </w:tc>
      </w:tr>
      <w:tr w:rsidR="006A3CB0" w:rsidRPr="006405B4" w:rsidTr="008F1B64">
        <w:trPr>
          <w:trHeight w:val="20"/>
        </w:trPr>
        <w:tc>
          <w:tcPr>
            <w:tcW w:w="169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2 222 629 110,01</w:t>
            </w:r>
          </w:p>
        </w:tc>
        <w:tc>
          <w:tcPr>
            <w:tcW w:w="1406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2 121 500 284,68</w:t>
            </w:r>
          </w:p>
        </w:tc>
        <w:tc>
          <w:tcPr>
            <w:tcW w:w="1407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2 413 888 552,33</w:t>
            </w:r>
          </w:p>
        </w:tc>
        <w:tc>
          <w:tcPr>
            <w:tcW w:w="126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191 259 442,32</w:t>
            </w:r>
          </w:p>
        </w:tc>
        <w:tc>
          <w:tcPr>
            <w:tcW w:w="1325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292 388 267,65</w:t>
            </w:r>
          </w:p>
        </w:tc>
        <w:tc>
          <w:tcPr>
            <w:tcW w:w="1401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2 254 526 755,70</w:t>
            </w:r>
          </w:p>
        </w:tc>
        <w:tc>
          <w:tcPr>
            <w:tcW w:w="1388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2 449 847 453,21</w:t>
            </w:r>
          </w:p>
        </w:tc>
        <w:tc>
          <w:tcPr>
            <w:tcW w:w="126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195 320 697,51</w:t>
            </w:r>
          </w:p>
        </w:tc>
        <w:tc>
          <w:tcPr>
            <w:tcW w:w="1389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2 155 539 007,60</w:t>
            </w:r>
          </w:p>
        </w:tc>
        <w:tc>
          <w:tcPr>
            <w:tcW w:w="1312" w:type="dxa"/>
            <w:shd w:val="clear" w:color="000000" w:fill="FFFFFF"/>
            <w:vAlign w:val="center"/>
            <w:hideMark/>
          </w:tcPr>
          <w:p w:rsidR="00F31984" w:rsidRPr="006405B4" w:rsidRDefault="00F31984" w:rsidP="00F31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405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-294 308 445,61</w:t>
            </w:r>
          </w:p>
        </w:tc>
      </w:tr>
    </w:tbl>
    <w:p w:rsidR="00F31984" w:rsidRPr="006405B4" w:rsidRDefault="00F31984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984" w:rsidRPr="006405B4" w:rsidRDefault="00F31984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716798" w:rsidRPr="006405B4" w:rsidRDefault="00716798" w:rsidP="00716798">
      <w:pPr>
        <w:tabs>
          <w:tab w:val="left" w:pos="354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  <w:sectPr w:rsidR="00716798" w:rsidRPr="006405B4" w:rsidSect="00137921">
          <w:pgSz w:w="16838" w:h="11906" w:orient="landscape"/>
          <w:pgMar w:top="851" w:right="567" w:bottom="851" w:left="1134" w:header="709" w:footer="709" w:gutter="0"/>
          <w:cols w:space="708"/>
          <w:docGrid w:linePitch="360"/>
        </w:sect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Непрограммные направления расходов</w:t>
      </w:r>
    </w:p>
    <w:p w:rsidR="00716798" w:rsidRPr="006405B4" w:rsidRDefault="00716798" w:rsidP="0013792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обеспечение деятельности помощников депутатов Думы Ставропольского края и присяжных заседателей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составят </w:t>
      </w:r>
      <w:r w:rsidR="00BF397A"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1 205 713,58</w:t>
      </w:r>
      <w:r w:rsidRPr="006405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ежегодно.</w:t>
      </w:r>
    </w:p>
    <w:p w:rsidR="00716798" w:rsidRPr="006405B4" w:rsidRDefault="00716798" w:rsidP="0071679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обеспечение деятельности Контрольно-счетного органа Новоалександровского муниципального округа Ставропольского края составят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BF397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97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3 2</w:t>
      </w:r>
      <w:r w:rsidR="002A52B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397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6 554,70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– по </w:t>
      </w:r>
      <w:r w:rsidR="00BF397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2A52B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397A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3 711,70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D90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государственных функций, связанных с общегосударственным управлением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ассигнования на обеспечение на обеспечение гарантий муниципальным служащим в соответствии с действующим законодательством, на исполнение судебных актов по искам к муниципальным образованиям, проведение независимой оценки качества условий оказания услуг организациями социальной сферы</w:t>
      </w:r>
      <w:r w:rsidR="004138BB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расходы на содержание имущества, находящегося в муниципальной собственности, расходы на уплату членских взносов 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A772F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10 490 047,20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8A772F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A772F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6 523 653,60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A772F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 </w:t>
      </w:r>
      <w:r w:rsidR="008A772F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6 539 653,60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резервных фондов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создание резервных фондов администрации Новоалександровского муниципального округа Ставропольского края составят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870C9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9 844 930,81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70C9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000,00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870C98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00 000,00 рублей.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области национальной безопасности и правоохранительной деятельности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осуществление первичного воинского учета органами местного самоуправления муниципальных и городских округов составят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D233A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2 408 655,37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D233A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233A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2 634 952,07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D233A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D233A5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2 728 581,82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716798" w:rsidRPr="006405B4" w:rsidRDefault="00716798" w:rsidP="00716798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6798" w:rsidRPr="006405B4" w:rsidRDefault="00716798" w:rsidP="0071679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в области социальной политики</w:t>
      </w:r>
    </w:p>
    <w:p w:rsidR="001416E5" w:rsidRPr="006405B4" w:rsidRDefault="00716798" w:rsidP="003C00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проведение мероприятий в области социальной политики Новоалександровского муниципального округа Ставропольского края составят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495BD7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214 544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рублей, в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65DF6"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Pr="00640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по 126 544,00 рублей.</w:t>
      </w:r>
    </w:p>
    <w:sectPr w:rsidR="001416E5" w:rsidRPr="006405B4" w:rsidSect="008F1B64">
      <w:headerReference w:type="even" r:id="rId12"/>
      <w:headerReference w:type="default" r:id="rId13"/>
      <w:pgSz w:w="11906" w:h="16838"/>
      <w:pgMar w:top="28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56B" w:rsidRDefault="0014356B">
      <w:pPr>
        <w:spacing w:after="0" w:line="240" w:lineRule="auto"/>
      </w:pPr>
      <w:r>
        <w:separator/>
      </w:r>
    </w:p>
  </w:endnote>
  <w:endnote w:type="continuationSeparator" w:id="0">
    <w:p w:rsidR="0014356B" w:rsidRDefault="0014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56B" w:rsidRDefault="0014356B">
      <w:pPr>
        <w:spacing w:after="0" w:line="240" w:lineRule="auto"/>
      </w:pPr>
      <w:r>
        <w:separator/>
      </w:r>
    </w:p>
  </w:footnote>
  <w:footnote w:type="continuationSeparator" w:id="0">
    <w:p w:rsidR="0014356B" w:rsidRDefault="0014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 w:rsidP="00FF654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FF654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>
    <w:pPr>
      <w:pStyle w:val="a4"/>
      <w:jc w:val="right"/>
    </w:pPr>
  </w:p>
  <w:p w:rsidR="000A4960" w:rsidRDefault="000A4960" w:rsidP="00FF6546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 w:rsidP="00FF654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FF6546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>
    <w:pPr>
      <w:pStyle w:val="a4"/>
      <w:jc w:val="right"/>
    </w:pPr>
  </w:p>
  <w:p w:rsidR="000A4960" w:rsidRDefault="000A4960" w:rsidP="00FF6546">
    <w:pPr>
      <w:pStyle w:val="a4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 w:rsidP="002F59C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A4960" w:rsidRDefault="000A4960" w:rsidP="002F59CF">
    <w:pPr>
      <w:pStyle w:val="a4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960" w:rsidRDefault="000A4960" w:rsidP="002F59C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1D90A75"/>
    <w:multiLevelType w:val="hybridMultilevel"/>
    <w:tmpl w:val="60FE7B7C"/>
    <w:lvl w:ilvl="0" w:tplc="D6528F4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F40965"/>
    <w:multiLevelType w:val="hybridMultilevel"/>
    <w:tmpl w:val="B88C4742"/>
    <w:lvl w:ilvl="0" w:tplc="2398F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C3575E"/>
    <w:multiLevelType w:val="hybridMultilevel"/>
    <w:tmpl w:val="287A19E8"/>
    <w:lvl w:ilvl="0" w:tplc="EE14F40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C486A5E"/>
    <w:multiLevelType w:val="hybridMultilevel"/>
    <w:tmpl w:val="81F2A610"/>
    <w:lvl w:ilvl="0" w:tplc="CF78BA0A">
      <w:start w:val="1"/>
      <w:numFmt w:val="decimal"/>
      <w:lvlText w:val="%1)"/>
      <w:lvlJc w:val="left"/>
      <w:pPr>
        <w:ind w:left="1365" w:hanging="82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A554C4"/>
    <w:multiLevelType w:val="hybridMultilevel"/>
    <w:tmpl w:val="DFFC7874"/>
    <w:lvl w:ilvl="0" w:tplc="174065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12D7BE4"/>
    <w:multiLevelType w:val="hybridMultilevel"/>
    <w:tmpl w:val="8DFEED9C"/>
    <w:lvl w:ilvl="0" w:tplc="BD5E4EF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C249F5"/>
    <w:multiLevelType w:val="hybridMultilevel"/>
    <w:tmpl w:val="9FAC0BAE"/>
    <w:lvl w:ilvl="0" w:tplc="A300D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F6718"/>
    <w:multiLevelType w:val="hybridMultilevel"/>
    <w:tmpl w:val="8EBC3878"/>
    <w:lvl w:ilvl="0" w:tplc="C6568B7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4396700"/>
    <w:multiLevelType w:val="hybridMultilevel"/>
    <w:tmpl w:val="9564C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B5765"/>
    <w:multiLevelType w:val="hybridMultilevel"/>
    <w:tmpl w:val="2DBCD3DA"/>
    <w:lvl w:ilvl="0" w:tplc="6330B020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91B2342"/>
    <w:multiLevelType w:val="hybridMultilevel"/>
    <w:tmpl w:val="F97816A6"/>
    <w:lvl w:ilvl="0" w:tplc="19BA716E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2E3C5FA3"/>
    <w:multiLevelType w:val="hybridMultilevel"/>
    <w:tmpl w:val="886ACE42"/>
    <w:lvl w:ilvl="0" w:tplc="3C8C57C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BD3237"/>
    <w:multiLevelType w:val="hybridMultilevel"/>
    <w:tmpl w:val="AD284458"/>
    <w:lvl w:ilvl="0" w:tplc="2F809CD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14B4BD0"/>
    <w:multiLevelType w:val="hybridMultilevel"/>
    <w:tmpl w:val="B26A3BC0"/>
    <w:lvl w:ilvl="0" w:tplc="ABBE1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C02CF0"/>
    <w:multiLevelType w:val="hybridMultilevel"/>
    <w:tmpl w:val="5C98B4A8"/>
    <w:lvl w:ilvl="0" w:tplc="0D6C33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8AF5B12"/>
    <w:multiLevelType w:val="hybridMultilevel"/>
    <w:tmpl w:val="15F4B9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8141A"/>
    <w:multiLevelType w:val="hybridMultilevel"/>
    <w:tmpl w:val="B532DF66"/>
    <w:lvl w:ilvl="0" w:tplc="0AA2636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18817E2"/>
    <w:multiLevelType w:val="hybridMultilevel"/>
    <w:tmpl w:val="5250583C"/>
    <w:lvl w:ilvl="0" w:tplc="0282826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9513254"/>
    <w:multiLevelType w:val="hybridMultilevel"/>
    <w:tmpl w:val="B232C610"/>
    <w:lvl w:ilvl="0" w:tplc="7806F13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B40648B"/>
    <w:multiLevelType w:val="hybridMultilevel"/>
    <w:tmpl w:val="D9D8D8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1B405F4"/>
    <w:multiLevelType w:val="hybridMultilevel"/>
    <w:tmpl w:val="5AA291A0"/>
    <w:lvl w:ilvl="0" w:tplc="A038083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57364302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38F0C064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2D381AA2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7E2645E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D58A873E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E1120FA6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B1185A5A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BD02963A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 w15:restartNumberingAfterBreak="0">
    <w:nsid w:val="688C1877"/>
    <w:multiLevelType w:val="hybridMultilevel"/>
    <w:tmpl w:val="820EBCFC"/>
    <w:lvl w:ilvl="0" w:tplc="2B04BAF2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 w15:restartNumberingAfterBreak="0">
    <w:nsid w:val="6D2B63DE"/>
    <w:multiLevelType w:val="hybridMultilevel"/>
    <w:tmpl w:val="A9B07304"/>
    <w:lvl w:ilvl="0" w:tplc="18DCF7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0181D47"/>
    <w:multiLevelType w:val="multilevel"/>
    <w:tmpl w:val="340292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</w:rPr>
    </w:lvl>
  </w:abstractNum>
  <w:abstractNum w:abstractNumId="27" w15:restartNumberingAfterBreak="0">
    <w:nsid w:val="730F62F7"/>
    <w:multiLevelType w:val="multilevel"/>
    <w:tmpl w:val="340292C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  <w:rPr>
        <w:rFonts w:cs="Times New Roman" w:hint="default"/>
      </w:rPr>
    </w:lvl>
  </w:abstractNum>
  <w:abstractNum w:abstractNumId="28" w15:restartNumberingAfterBreak="0">
    <w:nsid w:val="73C23AE4"/>
    <w:multiLevelType w:val="hybridMultilevel"/>
    <w:tmpl w:val="798A24A0"/>
    <w:lvl w:ilvl="0" w:tplc="7B283A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B233253"/>
    <w:multiLevelType w:val="hybridMultilevel"/>
    <w:tmpl w:val="4AC6DE4E"/>
    <w:lvl w:ilvl="0" w:tplc="F0DCC72E">
      <w:start w:val="1"/>
      <w:numFmt w:val="decimalZero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F925C8C"/>
    <w:multiLevelType w:val="hybridMultilevel"/>
    <w:tmpl w:val="30CEBBBA"/>
    <w:lvl w:ilvl="0" w:tplc="A4747D6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3"/>
  </w:num>
  <w:num w:numId="4">
    <w:abstractNumId w:val="1"/>
  </w:num>
  <w:num w:numId="5">
    <w:abstractNumId w:val="17"/>
  </w:num>
  <w:num w:numId="6">
    <w:abstractNumId w:val="29"/>
  </w:num>
  <w:num w:numId="7">
    <w:abstractNumId w:val="4"/>
  </w:num>
  <w:num w:numId="8">
    <w:abstractNumId w:val="25"/>
  </w:num>
  <w:num w:numId="9">
    <w:abstractNumId w:val="19"/>
  </w:num>
  <w:num w:numId="10">
    <w:abstractNumId w:val="23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8"/>
  </w:num>
  <w:num w:numId="14">
    <w:abstractNumId w:val="2"/>
  </w:num>
  <w:num w:numId="15">
    <w:abstractNumId w:val="6"/>
  </w:num>
  <w:num w:numId="16">
    <w:abstractNumId w:val="16"/>
  </w:num>
  <w:num w:numId="17">
    <w:abstractNumId w:val="7"/>
  </w:num>
  <w:num w:numId="18">
    <w:abstractNumId w:val="20"/>
  </w:num>
  <w:num w:numId="19">
    <w:abstractNumId w:val="8"/>
  </w:num>
  <w:num w:numId="20">
    <w:abstractNumId w:val="3"/>
  </w:num>
  <w:num w:numId="21">
    <w:abstractNumId w:val="26"/>
  </w:num>
  <w:num w:numId="22">
    <w:abstractNumId w:val="27"/>
  </w:num>
  <w:num w:numId="23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0"/>
  </w:num>
  <w:num w:numId="26">
    <w:abstractNumId w:val="9"/>
  </w:num>
  <w:num w:numId="27">
    <w:abstractNumId w:val="21"/>
  </w:num>
  <w:num w:numId="28">
    <w:abstractNumId w:val="24"/>
  </w:num>
  <w:num w:numId="29">
    <w:abstractNumId w:val="12"/>
  </w:num>
  <w:num w:numId="30">
    <w:abstractNumId w:val="10"/>
  </w:num>
  <w:num w:numId="31">
    <w:abstractNumId w:val="18"/>
  </w:num>
  <w:num w:numId="32">
    <w:abstractNumId w:val="5"/>
  </w:num>
  <w:num w:numId="33">
    <w:abstractNumId w:val="14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73"/>
    <w:rsid w:val="0001145D"/>
    <w:rsid w:val="00015AC0"/>
    <w:rsid w:val="00020804"/>
    <w:rsid w:val="00021869"/>
    <w:rsid w:val="0003725F"/>
    <w:rsid w:val="000453F4"/>
    <w:rsid w:val="000570ED"/>
    <w:rsid w:val="00064547"/>
    <w:rsid w:val="00080584"/>
    <w:rsid w:val="000927A0"/>
    <w:rsid w:val="000A1700"/>
    <w:rsid w:val="000A186B"/>
    <w:rsid w:val="000A4960"/>
    <w:rsid w:val="000E6C1C"/>
    <w:rsid w:val="000F16ED"/>
    <w:rsid w:val="000F56A3"/>
    <w:rsid w:val="001002C4"/>
    <w:rsid w:val="00110387"/>
    <w:rsid w:val="00117F80"/>
    <w:rsid w:val="00124E0A"/>
    <w:rsid w:val="001266F3"/>
    <w:rsid w:val="00137921"/>
    <w:rsid w:val="001416E5"/>
    <w:rsid w:val="0014356B"/>
    <w:rsid w:val="00167BB9"/>
    <w:rsid w:val="001A6C07"/>
    <w:rsid w:val="001C2A6F"/>
    <w:rsid w:val="001C3CD5"/>
    <w:rsid w:val="001F7EC2"/>
    <w:rsid w:val="00202721"/>
    <w:rsid w:val="00204A3D"/>
    <w:rsid w:val="00215045"/>
    <w:rsid w:val="00237479"/>
    <w:rsid w:val="00283FF7"/>
    <w:rsid w:val="00285C21"/>
    <w:rsid w:val="00290B02"/>
    <w:rsid w:val="002A52B7"/>
    <w:rsid w:val="002A63E9"/>
    <w:rsid w:val="002B4D85"/>
    <w:rsid w:val="002B7D2E"/>
    <w:rsid w:val="002E3FF2"/>
    <w:rsid w:val="002F59CF"/>
    <w:rsid w:val="003027CB"/>
    <w:rsid w:val="003111FB"/>
    <w:rsid w:val="003154F4"/>
    <w:rsid w:val="00317AD2"/>
    <w:rsid w:val="00340C1B"/>
    <w:rsid w:val="00346B56"/>
    <w:rsid w:val="00347BB8"/>
    <w:rsid w:val="00347F1D"/>
    <w:rsid w:val="003511AC"/>
    <w:rsid w:val="00354DAC"/>
    <w:rsid w:val="003579EC"/>
    <w:rsid w:val="003629A4"/>
    <w:rsid w:val="003740BD"/>
    <w:rsid w:val="00393EA1"/>
    <w:rsid w:val="003A1587"/>
    <w:rsid w:val="003A5F43"/>
    <w:rsid w:val="003C00ED"/>
    <w:rsid w:val="003D40C4"/>
    <w:rsid w:val="003E71BE"/>
    <w:rsid w:val="003F07D4"/>
    <w:rsid w:val="003F14CA"/>
    <w:rsid w:val="003F1669"/>
    <w:rsid w:val="00412DBF"/>
    <w:rsid w:val="004138BB"/>
    <w:rsid w:val="00414735"/>
    <w:rsid w:val="0042105A"/>
    <w:rsid w:val="00421103"/>
    <w:rsid w:val="00427F69"/>
    <w:rsid w:val="00431FB2"/>
    <w:rsid w:val="00465BA3"/>
    <w:rsid w:val="004713E1"/>
    <w:rsid w:val="00475FF1"/>
    <w:rsid w:val="00495BD7"/>
    <w:rsid w:val="004A36CE"/>
    <w:rsid w:val="004C24E7"/>
    <w:rsid w:val="004C7FEB"/>
    <w:rsid w:val="004D25CF"/>
    <w:rsid w:val="004D42C6"/>
    <w:rsid w:val="004D67CF"/>
    <w:rsid w:val="00512ECF"/>
    <w:rsid w:val="005272C9"/>
    <w:rsid w:val="005310F7"/>
    <w:rsid w:val="0053336A"/>
    <w:rsid w:val="00565DF6"/>
    <w:rsid w:val="00576D41"/>
    <w:rsid w:val="00580F99"/>
    <w:rsid w:val="00596C00"/>
    <w:rsid w:val="005B1FB0"/>
    <w:rsid w:val="005C4638"/>
    <w:rsid w:val="005D50E4"/>
    <w:rsid w:val="006330BA"/>
    <w:rsid w:val="006405B4"/>
    <w:rsid w:val="0066795B"/>
    <w:rsid w:val="006A1039"/>
    <w:rsid w:val="006A2B5F"/>
    <w:rsid w:val="006A3CB0"/>
    <w:rsid w:val="006C5EDB"/>
    <w:rsid w:val="006C5FDF"/>
    <w:rsid w:val="006E11C9"/>
    <w:rsid w:val="00702EC8"/>
    <w:rsid w:val="00716798"/>
    <w:rsid w:val="00721466"/>
    <w:rsid w:val="00732226"/>
    <w:rsid w:val="007348EF"/>
    <w:rsid w:val="00744245"/>
    <w:rsid w:val="007543C1"/>
    <w:rsid w:val="007633A1"/>
    <w:rsid w:val="00791B7C"/>
    <w:rsid w:val="007979BB"/>
    <w:rsid w:val="007C6B72"/>
    <w:rsid w:val="007C7A2C"/>
    <w:rsid w:val="007E1883"/>
    <w:rsid w:val="007F6AF9"/>
    <w:rsid w:val="00800B41"/>
    <w:rsid w:val="00870C98"/>
    <w:rsid w:val="00882F4C"/>
    <w:rsid w:val="00885544"/>
    <w:rsid w:val="008A0214"/>
    <w:rsid w:val="008A772F"/>
    <w:rsid w:val="008B50A8"/>
    <w:rsid w:val="008F1B64"/>
    <w:rsid w:val="008F3AA5"/>
    <w:rsid w:val="00910B5F"/>
    <w:rsid w:val="00942AC2"/>
    <w:rsid w:val="00944167"/>
    <w:rsid w:val="00947735"/>
    <w:rsid w:val="00960B79"/>
    <w:rsid w:val="00964D53"/>
    <w:rsid w:val="0097362E"/>
    <w:rsid w:val="009B0417"/>
    <w:rsid w:val="009E66AE"/>
    <w:rsid w:val="009E6D2A"/>
    <w:rsid w:val="00A0091F"/>
    <w:rsid w:val="00A02DBA"/>
    <w:rsid w:val="00A35377"/>
    <w:rsid w:val="00A740DF"/>
    <w:rsid w:val="00A81571"/>
    <w:rsid w:val="00A96FE1"/>
    <w:rsid w:val="00AB2D06"/>
    <w:rsid w:val="00AD1BF0"/>
    <w:rsid w:val="00AD2561"/>
    <w:rsid w:val="00AD73E2"/>
    <w:rsid w:val="00AE744E"/>
    <w:rsid w:val="00AF7818"/>
    <w:rsid w:val="00B04BB2"/>
    <w:rsid w:val="00B26697"/>
    <w:rsid w:val="00B4267A"/>
    <w:rsid w:val="00B513BE"/>
    <w:rsid w:val="00B64F1A"/>
    <w:rsid w:val="00B97065"/>
    <w:rsid w:val="00BC7338"/>
    <w:rsid w:val="00BD73C8"/>
    <w:rsid w:val="00BE2E15"/>
    <w:rsid w:val="00BF221C"/>
    <w:rsid w:val="00BF397A"/>
    <w:rsid w:val="00BF6C1C"/>
    <w:rsid w:val="00C048C6"/>
    <w:rsid w:val="00C10A55"/>
    <w:rsid w:val="00C10DBE"/>
    <w:rsid w:val="00C1512C"/>
    <w:rsid w:val="00C27496"/>
    <w:rsid w:val="00C37F40"/>
    <w:rsid w:val="00C4510C"/>
    <w:rsid w:val="00C816FB"/>
    <w:rsid w:val="00C91D79"/>
    <w:rsid w:val="00C93E73"/>
    <w:rsid w:val="00C954AE"/>
    <w:rsid w:val="00CA4D17"/>
    <w:rsid w:val="00CB50C0"/>
    <w:rsid w:val="00CC3F73"/>
    <w:rsid w:val="00CD5A7A"/>
    <w:rsid w:val="00CF14AD"/>
    <w:rsid w:val="00D017E7"/>
    <w:rsid w:val="00D233A5"/>
    <w:rsid w:val="00D308C8"/>
    <w:rsid w:val="00D36D23"/>
    <w:rsid w:val="00D42374"/>
    <w:rsid w:val="00D43FB7"/>
    <w:rsid w:val="00D52CC8"/>
    <w:rsid w:val="00D56622"/>
    <w:rsid w:val="00D618BE"/>
    <w:rsid w:val="00D62DCB"/>
    <w:rsid w:val="00D638E5"/>
    <w:rsid w:val="00DA5212"/>
    <w:rsid w:val="00DB772B"/>
    <w:rsid w:val="00DD37C8"/>
    <w:rsid w:val="00DE0070"/>
    <w:rsid w:val="00E00399"/>
    <w:rsid w:val="00E21C95"/>
    <w:rsid w:val="00E324C6"/>
    <w:rsid w:val="00E3788B"/>
    <w:rsid w:val="00E403FE"/>
    <w:rsid w:val="00E4758D"/>
    <w:rsid w:val="00E61EA3"/>
    <w:rsid w:val="00E92E29"/>
    <w:rsid w:val="00EA122B"/>
    <w:rsid w:val="00EA6965"/>
    <w:rsid w:val="00EB14DE"/>
    <w:rsid w:val="00ED12D1"/>
    <w:rsid w:val="00EF3131"/>
    <w:rsid w:val="00F00FF5"/>
    <w:rsid w:val="00F154A3"/>
    <w:rsid w:val="00F24678"/>
    <w:rsid w:val="00F31984"/>
    <w:rsid w:val="00F5180C"/>
    <w:rsid w:val="00F81019"/>
    <w:rsid w:val="00FA1DF7"/>
    <w:rsid w:val="00FC1B74"/>
    <w:rsid w:val="00FC3D90"/>
    <w:rsid w:val="00FC4901"/>
    <w:rsid w:val="00FD23D9"/>
    <w:rsid w:val="00FD3156"/>
    <w:rsid w:val="00FF3262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7690A4E-B491-4B2B-9E67-6DFD7B30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F14A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F14A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416E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141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uiPriority w:val="99"/>
    <w:rsid w:val="001416E5"/>
    <w:rPr>
      <w:rFonts w:cs="Times New Roman"/>
    </w:rPr>
  </w:style>
  <w:style w:type="character" w:customStyle="1" w:styleId="10">
    <w:name w:val="Заголовок 1 Знак"/>
    <w:basedOn w:val="a1"/>
    <w:link w:val="1"/>
    <w:rsid w:val="00CF14A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CF14A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7">
    <w:name w:val="Body Text"/>
    <w:basedOn w:val="a0"/>
    <w:link w:val="a8"/>
    <w:rsid w:val="00CF14A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link w:val="a7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CF14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CF14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F14A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1"/>
    <w:rsid w:val="00CF14AD"/>
    <w:rPr>
      <w:rFonts w:cs="Times New Roman"/>
    </w:rPr>
  </w:style>
  <w:style w:type="paragraph" w:styleId="aa">
    <w:name w:val="footer"/>
    <w:basedOn w:val="a0"/>
    <w:link w:val="ab"/>
    <w:uiPriority w:val="99"/>
    <w:rsid w:val="00CF14AD"/>
    <w:pPr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CF14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CF1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F14A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Абзац списка4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rsid w:val="00CF14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0"/>
    <w:link w:val="24"/>
    <w:qFormat/>
    <w:rsid w:val="00CF14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Название Знак2"/>
    <w:basedOn w:val="a1"/>
    <w:link w:val="ac"/>
    <w:rsid w:val="00CF14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Нумерованный абзац"/>
    <w:rsid w:val="00CF14AD"/>
    <w:pPr>
      <w:numPr>
        <w:numId w:val="3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d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e"/>
    <w:rsid w:val="00CF1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1"/>
    <w:basedOn w:val="a1"/>
    <w:link w:val="ad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a1"/>
    <w:locked/>
    <w:rsid w:val="00CF14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1"/>
    <w:semiHidden/>
    <w:locked/>
    <w:rsid w:val="00CF14AD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ormalANX">
    <w:name w:val="NormalANX"/>
    <w:basedOn w:val="a0"/>
    <w:rsid w:val="00CF14AD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oterChar">
    <w:name w:val="Footer Char"/>
    <w:basedOn w:val="a1"/>
    <w:locked/>
    <w:rsid w:val="00CF14AD"/>
    <w:rPr>
      <w:rFonts w:cs="Times New Roman"/>
      <w:sz w:val="28"/>
    </w:rPr>
  </w:style>
  <w:style w:type="table" w:styleId="af">
    <w:name w:val="Table Grid"/>
    <w:basedOn w:val="a2"/>
    <w:uiPriority w:val="39"/>
    <w:rsid w:val="00CF14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basedOn w:val="a1"/>
    <w:semiHidden/>
    <w:locked/>
    <w:rsid w:val="00CF14AD"/>
    <w:rPr>
      <w:rFonts w:cs="Times New Roman"/>
      <w:sz w:val="24"/>
      <w:szCs w:val="24"/>
      <w:lang w:val="ru-RU" w:eastAsia="ru-RU" w:bidi="ar-SA"/>
    </w:rPr>
  </w:style>
  <w:style w:type="paragraph" w:styleId="af0">
    <w:name w:val="Plain Text"/>
    <w:basedOn w:val="a0"/>
    <w:link w:val="af1"/>
    <w:rsid w:val="00CF14AD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1">
    <w:name w:val="Текст Знак"/>
    <w:basedOn w:val="a1"/>
    <w:link w:val="af0"/>
    <w:rsid w:val="00CF14A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2">
    <w:name w:val="Прижатый влево"/>
    <w:basedOn w:val="a0"/>
    <w:next w:val="a0"/>
    <w:rsid w:val="00CF1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3">
    <w:name w:val="ЭЭГ"/>
    <w:basedOn w:val="a0"/>
    <w:rsid w:val="00CF14A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0"/>
    <w:link w:val="30"/>
    <w:rsid w:val="00CF14A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rsid w:val="00CF14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3Char">
    <w:name w:val="Body Text 3 Char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paragraph" w:styleId="31">
    <w:name w:val="Body Text Indent 3"/>
    <w:basedOn w:val="a0"/>
    <w:link w:val="32"/>
    <w:rsid w:val="00CF14A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F14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a1"/>
    <w:semiHidden/>
    <w:locked/>
    <w:rsid w:val="00CF14AD"/>
    <w:rPr>
      <w:rFonts w:cs="Times New Roman"/>
      <w:sz w:val="16"/>
      <w:szCs w:val="16"/>
      <w:lang w:val="ru-RU" w:eastAsia="ru-RU" w:bidi="ar-SA"/>
    </w:rPr>
  </w:style>
  <w:style w:type="paragraph" w:customStyle="1" w:styleId="ConsTitle">
    <w:name w:val="ConsTitle"/>
    <w:rsid w:val="00CF14AD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4">
    <w:name w:val="Subtitle"/>
    <w:basedOn w:val="a0"/>
    <w:next w:val="a0"/>
    <w:link w:val="af5"/>
    <w:qFormat/>
    <w:rsid w:val="00CF14AD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af5">
    <w:name w:val="Подзаголовок Знак"/>
    <w:basedOn w:val="a1"/>
    <w:link w:val="af4"/>
    <w:rsid w:val="00CF14A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HTMLPreformattedChar">
    <w:name w:val="HTML Preformatted Char"/>
    <w:basedOn w:val="a1"/>
    <w:locked/>
    <w:rsid w:val="00CF14AD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CF14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BodyTextChar">
    <w:name w:val="Body Text Char"/>
    <w:basedOn w:val="a1"/>
    <w:semiHidden/>
    <w:locked/>
    <w:rsid w:val="00CF14AD"/>
    <w:rPr>
      <w:rFonts w:cs="Times New Roman"/>
      <w:sz w:val="24"/>
      <w:szCs w:val="24"/>
    </w:rPr>
  </w:style>
  <w:style w:type="paragraph" w:customStyle="1" w:styleId="310">
    <w:name w:val="Основной текст 31"/>
    <w:basedOn w:val="a0"/>
    <w:rsid w:val="00CF14AD"/>
    <w:pPr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ConsNormal">
    <w:name w:val="ConsNormal"/>
    <w:rsid w:val="00CF14AD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6">
    <w:name w:val="Strong"/>
    <w:basedOn w:val="a1"/>
    <w:qFormat/>
    <w:rsid w:val="00CF14AD"/>
    <w:rPr>
      <w:rFonts w:cs="Times New Roman"/>
      <w:b/>
      <w:bCs/>
    </w:rPr>
  </w:style>
  <w:style w:type="character" w:styleId="af7">
    <w:name w:val="Hyperlink"/>
    <w:basedOn w:val="a1"/>
    <w:rsid w:val="00CF14AD"/>
    <w:rPr>
      <w:rFonts w:cs="Times New Roman"/>
      <w:color w:val="0000FF"/>
      <w:u w:val="single"/>
    </w:rPr>
  </w:style>
  <w:style w:type="paragraph" w:customStyle="1" w:styleId="210">
    <w:name w:val="Основной текст с отступом 21"/>
    <w:basedOn w:val="a0"/>
    <w:rsid w:val="00CF14AD"/>
    <w:pPr>
      <w:spacing w:after="120" w:line="480" w:lineRule="auto"/>
      <w:ind w:left="283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CF14AD"/>
    <w:pPr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12">
    <w:name w:val="Ñòèëü1"/>
    <w:basedOn w:val="a0"/>
    <w:rsid w:val="00CF14AD"/>
    <w:pPr>
      <w:spacing w:after="0" w:line="240" w:lineRule="auto"/>
      <w:ind w:firstLine="720"/>
      <w:jc w:val="both"/>
    </w:pPr>
    <w:rPr>
      <w:rFonts w:ascii="Times New Roman" w:eastAsia="Times New Roman" w:hAnsi="Times New Roman" w:cs="Calibri"/>
      <w:sz w:val="28"/>
      <w:szCs w:val="20"/>
      <w:lang w:eastAsia="ar-SA"/>
    </w:rPr>
  </w:style>
  <w:style w:type="paragraph" w:styleId="25">
    <w:name w:val="Body Text 2"/>
    <w:basedOn w:val="a0"/>
    <w:link w:val="26"/>
    <w:rsid w:val="00CF1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FontStyle37">
    <w:name w:val="Font Style37"/>
    <w:rsid w:val="00CF14AD"/>
    <w:rPr>
      <w:rFonts w:ascii="Times New Roman" w:hAnsi="Times New Roman"/>
      <w:sz w:val="26"/>
    </w:rPr>
  </w:style>
  <w:style w:type="character" w:customStyle="1" w:styleId="HeaderChar">
    <w:name w:val="Header Char"/>
    <w:basedOn w:val="a1"/>
    <w:semiHidden/>
    <w:locked/>
    <w:rsid w:val="00CF14AD"/>
    <w:rPr>
      <w:rFonts w:cs="Times New Roman"/>
      <w:sz w:val="24"/>
      <w:szCs w:val="24"/>
    </w:rPr>
  </w:style>
  <w:style w:type="paragraph" w:customStyle="1" w:styleId="ConsPlusTitle">
    <w:name w:val="ConsPlusTitle"/>
    <w:rsid w:val="00CF14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8">
    <w:name w:val="Balloon Text"/>
    <w:basedOn w:val="a0"/>
    <w:link w:val="af9"/>
    <w:rsid w:val="00CF14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1"/>
    <w:link w:val="af8"/>
    <w:rsid w:val="00CF14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0">
    <w:name w:val="constitle"/>
    <w:basedOn w:val="a0"/>
    <w:rsid w:val="00CF14AD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BodyTextIndent3Char1">
    <w:name w:val="Body Text Indent 3 Char1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paragraph" w:customStyle="1" w:styleId="33">
    <w:name w:val="Абзац списка3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0">
    <w:name w:val="Знак Знак12"/>
    <w:basedOn w:val="a1"/>
    <w:locked/>
    <w:rsid w:val="00CF14AD"/>
    <w:rPr>
      <w:rFonts w:ascii="Arial" w:hAnsi="Arial" w:cs="Times New Roman"/>
      <w:b/>
      <w:kern w:val="28"/>
      <w:sz w:val="32"/>
      <w:lang w:val="ru-RU" w:eastAsia="ru-RU" w:bidi="ar-SA"/>
    </w:rPr>
  </w:style>
  <w:style w:type="character" w:customStyle="1" w:styleId="9">
    <w:name w:val="Знак Знак9"/>
    <w:basedOn w:val="a1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00">
    <w:name w:val="Знак Знак10"/>
    <w:basedOn w:val="a1"/>
    <w:locked/>
    <w:rsid w:val="00CF14AD"/>
    <w:rPr>
      <w:rFonts w:cs="Times New Roman"/>
      <w:sz w:val="28"/>
      <w:lang w:val="ru-RU" w:eastAsia="ru-RU" w:bidi="ar-SA"/>
    </w:rPr>
  </w:style>
  <w:style w:type="character" w:customStyle="1" w:styleId="7">
    <w:name w:val="Знак Знак7"/>
    <w:basedOn w:val="a1"/>
    <w:locked/>
    <w:rsid w:val="00CF14AD"/>
    <w:rPr>
      <w:rFonts w:cs="Times New Roman"/>
      <w:sz w:val="16"/>
      <w:szCs w:val="16"/>
      <w:lang w:val="ru-RU" w:eastAsia="ru-RU" w:bidi="ar-SA"/>
    </w:rPr>
  </w:style>
  <w:style w:type="character" w:customStyle="1" w:styleId="34">
    <w:name w:val="Знак Знак3"/>
    <w:basedOn w:val="a1"/>
    <w:semiHidden/>
    <w:locked/>
    <w:rsid w:val="00CF14AD"/>
    <w:rPr>
      <w:rFonts w:cs="Times New Roman"/>
      <w:sz w:val="24"/>
      <w:szCs w:val="24"/>
      <w:lang w:val="ru-RU" w:eastAsia="ru-RU" w:bidi="ar-SA"/>
    </w:rPr>
  </w:style>
  <w:style w:type="paragraph" w:customStyle="1" w:styleId="110">
    <w:name w:val="Абзац списка11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8">
    <w:name w:val="Font Style48"/>
    <w:basedOn w:val="a1"/>
    <w:rsid w:val="00CF14AD"/>
    <w:rPr>
      <w:rFonts w:ascii="Times New Roman" w:hAnsi="Times New Roman" w:cs="Times New Roman"/>
      <w:sz w:val="26"/>
      <w:szCs w:val="26"/>
    </w:rPr>
  </w:style>
  <w:style w:type="character" w:customStyle="1" w:styleId="BodyTextChar2">
    <w:name w:val="Body Text Char2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13">
    <w:name w:val="Нижний колонтитул Знак1"/>
    <w:basedOn w:val="a1"/>
    <w:locked/>
    <w:rsid w:val="00CF14AD"/>
    <w:rPr>
      <w:rFonts w:cs="Times New Roman"/>
      <w:sz w:val="28"/>
    </w:rPr>
  </w:style>
  <w:style w:type="character" w:customStyle="1" w:styleId="14">
    <w:name w:val="Название Знак1"/>
    <w:basedOn w:val="a1"/>
    <w:locked/>
    <w:rsid w:val="00CF14AD"/>
    <w:rPr>
      <w:rFonts w:cs="Times New Roman"/>
      <w:b/>
      <w:bCs/>
      <w:sz w:val="24"/>
      <w:szCs w:val="24"/>
    </w:rPr>
  </w:style>
  <w:style w:type="character" w:customStyle="1" w:styleId="afa">
    <w:name w:val="Знак Знак"/>
    <w:basedOn w:val="a1"/>
    <w:semiHidden/>
    <w:locked/>
    <w:rsid w:val="00CF14AD"/>
    <w:rPr>
      <w:rFonts w:cs="Times New Roman"/>
      <w:sz w:val="24"/>
      <w:szCs w:val="24"/>
    </w:rPr>
  </w:style>
  <w:style w:type="character" w:customStyle="1" w:styleId="15">
    <w:name w:val="Знак Знак1"/>
    <w:basedOn w:val="a1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pt-a0-000005">
    <w:name w:val="pt-a0-000005"/>
    <w:basedOn w:val="a1"/>
    <w:rsid w:val="00CF14AD"/>
    <w:rPr>
      <w:rFonts w:cs="Times New Roman"/>
    </w:rPr>
  </w:style>
  <w:style w:type="character" w:customStyle="1" w:styleId="pt-a0-000010">
    <w:name w:val="pt-a0-000010"/>
    <w:basedOn w:val="a1"/>
    <w:rsid w:val="00CF14AD"/>
    <w:rPr>
      <w:rFonts w:cs="Times New Roman"/>
    </w:rPr>
  </w:style>
  <w:style w:type="character" w:customStyle="1" w:styleId="HeaderChar1">
    <w:name w:val="Header Char1"/>
    <w:basedOn w:val="a1"/>
    <w:locked/>
    <w:rsid w:val="00CF14AD"/>
    <w:rPr>
      <w:rFonts w:cs="Times New Roman"/>
      <w:sz w:val="24"/>
      <w:szCs w:val="24"/>
    </w:rPr>
  </w:style>
  <w:style w:type="character" w:customStyle="1" w:styleId="HTMLPreformattedChar1">
    <w:name w:val="HTML Preformatted Char1"/>
    <w:basedOn w:val="a1"/>
    <w:locked/>
    <w:rsid w:val="00CF14AD"/>
    <w:rPr>
      <w:rFonts w:ascii="Courier New" w:hAnsi="Courier New" w:cs="Courier New"/>
      <w:lang w:val="ru-RU" w:eastAsia="ru-RU" w:bidi="ar-SA"/>
    </w:rPr>
  </w:style>
  <w:style w:type="character" w:customStyle="1" w:styleId="FooterChar1">
    <w:name w:val="Footer Char1"/>
    <w:basedOn w:val="a1"/>
    <w:locked/>
    <w:rsid w:val="00CF14AD"/>
    <w:rPr>
      <w:rFonts w:cs="Times New Roman"/>
      <w:sz w:val="28"/>
      <w:lang w:val="ru-RU" w:eastAsia="ru-RU" w:bidi="ar-SA"/>
    </w:rPr>
  </w:style>
  <w:style w:type="character" w:customStyle="1" w:styleId="PlainTextChar">
    <w:name w:val="Plain Text Char"/>
    <w:basedOn w:val="a1"/>
    <w:locked/>
    <w:rsid w:val="00CF14AD"/>
    <w:rPr>
      <w:rFonts w:ascii="Courier New" w:hAnsi="Courier New" w:cs="Times New Roman"/>
      <w:sz w:val="20"/>
      <w:szCs w:val="20"/>
      <w:lang w:eastAsia="ru-RU"/>
    </w:rPr>
  </w:style>
  <w:style w:type="character" w:customStyle="1" w:styleId="CharStyle13">
    <w:name w:val="Char Style 13"/>
    <w:link w:val="Style12"/>
    <w:locked/>
    <w:rsid w:val="00CF14AD"/>
    <w:rPr>
      <w:sz w:val="26"/>
      <w:shd w:val="clear" w:color="auto" w:fill="FFFFFF"/>
    </w:rPr>
  </w:style>
  <w:style w:type="paragraph" w:customStyle="1" w:styleId="Style12">
    <w:name w:val="Style 12"/>
    <w:basedOn w:val="a0"/>
    <w:link w:val="CharStyle13"/>
    <w:rsid w:val="00CF14AD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hd w:val="clear" w:color="auto" w:fill="FFFFFF"/>
    </w:rPr>
  </w:style>
  <w:style w:type="character" w:customStyle="1" w:styleId="TitleChar">
    <w:name w:val="Title Char"/>
    <w:basedOn w:val="a1"/>
    <w:locked/>
    <w:rsid w:val="00CF14A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5">
    <w:name w:val="Абзац списка5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link w:val="afc"/>
    <w:uiPriority w:val="1"/>
    <w:qFormat/>
    <w:rsid w:val="00CF1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70">
    <w:name w:val="Абзац списка7"/>
    <w:basedOn w:val="a0"/>
    <w:uiPriority w:val="99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1"/>
    <w:uiPriority w:val="99"/>
    <w:qFormat/>
    <w:rsid w:val="00CF14AD"/>
    <w:rPr>
      <w:i/>
      <w:iCs/>
    </w:rPr>
  </w:style>
  <w:style w:type="character" w:customStyle="1" w:styleId="16">
    <w:name w:val="Основной текст Знак1"/>
    <w:semiHidden/>
    <w:locked/>
    <w:rsid w:val="00CF14AD"/>
    <w:rPr>
      <w:rFonts w:cs="Times New Roman"/>
      <w:sz w:val="24"/>
      <w:szCs w:val="24"/>
    </w:rPr>
  </w:style>
  <w:style w:type="character" w:customStyle="1" w:styleId="afe">
    <w:name w:val="Название Знак"/>
    <w:locked/>
    <w:rsid w:val="00CF14AD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17">
    <w:name w:val="Текст1"/>
    <w:basedOn w:val="a0"/>
    <w:rsid w:val="00CF14AD"/>
    <w:pPr>
      <w:spacing w:after="0" w:line="240" w:lineRule="auto"/>
      <w:ind w:firstLine="720"/>
      <w:jc w:val="both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aff">
    <w:name w:val="Маркер"/>
    <w:basedOn w:val="a0"/>
    <w:rsid w:val="00CF14AD"/>
    <w:pPr>
      <w:tabs>
        <w:tab w:val="left" w:pos="-6128"/>
        <w:tab w:val="left" w:pos="1212"/>
      </w:tabs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8"/>
      <w:szCs w:val="28"/>
      <w:lang w:eastAsia="ar-SA"/>
    </w:rPr>
  </w:style>
  <w:style w:type="paragraph" w:customStyle="1" w:styleId="aff0">
    <w:name w:val="Обычный (паспорт)"/>
    <w:basedOn w:val="a0"/>
    <w:rsid w:val="00CF14AD"/>
    <w:pPr>
      <w:spacing w:after="0" w:line="240" w:lineRule="auto"/>
    </w:pPr>
    <w:rPr>
      <w:rFonts w:ascii="Times New Roman" w:eastAsia="Calibri" w:hAnsi="Times New Roman" w:cs="Calibri"/>
      <w:sz w:val="28"/>
      <w:szCs w:val="28"/>
      <w:lang w:eastAsia="ar-SA"/>
    </w:rPr>
  </w:style>
  <w:style w:type="paragraph" w:customStyle="1" w:styleId="aff1">
    <w:name w:val="Знак"/>
    <w:basedOn w:val="a0"/>
    <w:rsid w:val="00CF14A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30">
    <w:name w:val="a3"/>
    <w:basedOn w:val="a0"/>
    <w:rsid w:val="00CF14A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8">
    <w:name w:val="Без интервала1"/>
    <w:rsid w:val="00CF14A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09">
    <w:name w:val="Font Style109"/>
    <w:rsid w:val="00CF14AD"/>
    <w:rPr>
      <w:rFonts w:ascii="Times New Roman" w:hAnsi="Times New Roman" w:cs="Times New Roman"/>
      <w:color w:val="000000"/>
      <w:sz w:val="20"/>
      <w:szCs w:val="20"/>
    </w:rPr>
  </w:style>
  <w:style w:type="paragraph" w:customStyle="1" w:styleId="u">
    <w:name w:val="u"/>
    <w:basedOn w:val="a0"/>
    <w:rsid w:val="00CF14AD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7">
    <w:name w:val="Знак Знак2"/>
    <w:semiHidden/>
    <w:locked/>
    <w:rsid w:val="00CF14AD"/>
    <w:rPr>
      <w:sz w:val="24"/>
      <w:szCs w:val="24"/>
      <w:lang w:val="ru-RU" w:eastAsia="ru-RU" w:bidi="ar-SA"/>
    </w:rPr>
  </w:style>
  <w:style w:type="paragraph" w:customStyle="1" w:styleId="8">
    <w:name w:val="Абзац списка8"/>
    <w:basedOn w:val="a0"/>
    <w:rsid w:val="00CF14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uiPriority w:val="1"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Normal (Web)"/>
    <w:aliases w:val="Обычный (Web),Обычный (Web)1,Обычный (Web)11"/>
    <w:basedOn w:val="a0"/>
    <w:link w:val="aff3"/>
    <w:unhideWhenUsed/>
    <w:rsid w:val="00CF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Обычный (веб) Знак"/>
    <w:aliases w:val="Обычный (Web) Знак,Обычный (Web)1 Знак,Обычный (Web)11 Знак"/>
    <w:link w:val="aff2"/>
    <w:locked/>
    <w:rsid w:val="00CF14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Заголовок Знак1"/>
    <w:uiPriority w:val="10"/>
    <w:rsid w:val="00CF14A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311">
    <w:name w:val="Абзац списка31"/>
    <w:basedOn w:val="a0"/>
    <w:uiPriority w:val="99"/>
    <w:rsid w:val="00CF14A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E06529D60FEBD3DE1FD48F65446402DB6D2880BB49ACBFE6CD2D1003s6c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31</Pages>
  <Words>9437</Words>
  <Characters>53793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Александровна Сосова</dc:creator>
  <cp:keywords/>
  <dc:description/>
  <cp:lastModifiedBy>Людмила Савочкина</cp:lastModifiedBy>
  <cp:revision>184</cp:revision>
  <cp:lastPrinted>2023-11-14T11:49:00Z</cp:lastPrinted>
  <dcterms:created xsi:type="dcterms:W3CDTF">2022-10-29T13:40:00Z</dcterms:created>
  <dcterms:modified xsi:type="dcterms:W3CDTF">2024-10-31T10:56:00Z</dcterms:modified>
</cp:coreProperties>
</file>