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387" w:rsidRPr="002C3387" w:rsidRDefault="002C3387" w:rsidP="002C3387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Извещение о проведении аукциона на право заключения договоров аренды земельных участков с кадастровыми номерами </w:t>
      </w:r>
      <w:r w:rsidRPr="002C3387">
        <w:rPr>
          <w:rFonts w:ascii="Times New Roman" w:eastAsia="TimesNewRomanPSMT" w:hAnsi="Times New Roman" w:cs="Times New Roman"/>
          <w:b/>
          <w:sz w:val="28"/>
          <w:szCs w:val="28"/>
          <w:lang w:eastAsia="ru-RU"/>
        </w:rPr>
        <w:t xml:space="preserve">26:04:020301:274, </w:t>
      </w:r>
      <w:r w:rsidRPr="002C3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26:04:020412:412</w:t>
      </w:r>
      <w:r w:rsidRPr="002C3387">
        <w:rPr>
          <w:rFonts w:ascii="Times New Roman" w:eastAsia="TimesNewRomanPSMT" w:hAnsi="Times New Roman" w:cs="Times New Roman"/>
          <w:b/>
          <w:sz w:val="28"/>
          <w:szCs w:val="28"/>
          <w:lang w:eastAsia="ru-RU"/>
        </w:rPr>
        <w:t xml:space="preserve"> </w:t>
      </w:r>
      <w:r w:rsidRPr="002C3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собственность на которые не разграничена.</w:t>
      </w:r>
    </w:p>
    <w:p w:rsidR="002C3387" w:rsidRPr="002C3387" w:rsidRDefault="002C3387" w:rsidP="002C3387">
      <w:pPr>
        <w:widowControl w:val="0"/>
        <w:tabs>
          <w:tab w:val="left" w:pos="902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2C3387" w:rsidRPr="002C3387" w:rsidRDefault="002C3387" w:rsidP="002C3387">
      <w:pPr>
        <w:widowControl w:val="0"/>
        <w:tabs>
          <w:tab w:val="left" w:pos="902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zh-CN"/>
        </w:rPr>
        <w:t>Настоящее извещение подготовлено в соответствии со статьями 39.11-39.13 Земельного кодекса Российской Федерации,</w:t>
      </w:r>
      <w:hyperlink r:id="rId6" w:history="1">
        <w:r w:rsidRPr="002C3387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 xml:space="preserve"> </w:t>
        </w:r>
        <w:r w:rsidRPr="002C3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Регламентом</w:t>
        </w:r>
      </w:hyperlink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r w:rsidRPr="002C3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универсальной торговой платформы АО "Сбербанк - АСТ",</w:t>
        </w:r>
      </w:hyperlink>
      <w:hyperlink r:id="rId8" w:history="1">
        <w:r w:rsidRPr="002C3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Регламентом</w:t>
        </w:r>
      </w:hyperlink>
      <w:r w:rsidRPr="002C33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hyperlink r:id="rId9" w:history="1">
        <w:r w:rsidRPr="002C3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торговой секции "Приватизация, аренда и продажа прав" универсальной торговой</w:t>
        </w:r>
      </w:hyperlink>
      <w:r w:rsidRPr="002C33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hyperlink r:id="rId10" w:history="1">
        <w:r w:rsidRPr="002C3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платформы АО "Сбербанк - АСТ"</w:t>
        </w:r>
        <w:r w:rsidRPr="002C3387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>.</w:t>
        </w:r>
      </w:hyperlink>
      <w:r w:rsidRPr="002C33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Извещение определяет порядок и условия проведения аукциона в электронной форме на право заключения договора аренды земельного участка (далее - аукцион).</w:t>
      </w:r>
    </w:p>
    <w:p w:rsidR="002C3387" w:rsidRPr="002C3387" w:rsidRDefault="002C3387" w:rsidP="002C3387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2C3387" w:rsidRPr="002C3387" w:rsidRDefault="002C3387" w:rsidP="002C3387">
      <w:pPr>
        <w:widowControl w:val="0"/>
        <w:numPr>
          <w:ilvl w:val="0"/>
          <w:numId w:val="4"/>
        </w:numPr>
        <w:spacing w:after="60" w:line="322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ru-RU"/>
        </w:rPr>
      </w:pPr>
      <w:proofErr w:type="spellStart"/>
      <w:r w:rsidRPr="002C33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ru-RU"/>
        </w:rPr>
        <w:t>Информация</w:t>
      </w:r>
      <w:proofErr w:type="spellEnd"/>
      <w:r w:rsidRPr="002C33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ru-RU"/>
        </w:rPr>
        <w:t xml:space="preserve"> </w:t>
      </w:r>
      <w:proofErr w:type="spellStart"/>
      <w:r w:rsidRPr="002C33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ru-RU"/>
        </w:rPr>
        <w:t>об</w:t>
      </w:r>
      <w:proofErr w:type="spellEnd"/>
      <w:r w:rsidRPr="002C33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ru-RU"/>
        </w:rPr>
        <w:t xml:space="preserve"> </w:t>
      </w:r>
      <w:proofErr w:type="spellStart"/>
      <w:r w:rsidRPr="002C33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ru-RU"/>
        </w:rPr>
        <w:t>аукционе</w:t>
      </w:r>
      <w:proofErr w:type="spellEnd"/>
    </w:p>
    <w:p w:rsidR="002C3387" w:rsidRPr="002C3387" w:rsidRDefault="002C3387" w:rsidP="002C33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387" w:rsidRPr="002C3387" w:rsidRDefault="002C3387" w:rsidP="002C338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 проведения электронного аукциона: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№1095 от 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.08.2023 г.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проведении электронного аукциона на право заключения договоров аренды земельных участков с кадастровыми номерами </w:t>
      </w:r>
      <w:r w:rsidRPr="002C3387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26:04:020301:274, 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26:04:020412:412 государственная собственность на которые не разграничена».</w:t>
      </w:r>
    </w:p>
    <w:p w:rsidR="002C3387" w:rsidRPr="002C3387" w:rsidRDefault="002C3387" w:rsidP="002C33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Организатор электронного аукциона: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 адрес: 356000, РФ, Ставропольский край,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Новоалександровский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город Новоалександровск,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ул.Гагарина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315. </w:t>
      </w:r>
    </w:p>
    <w:p w:rsidR="002C3387" w:rsidRPr="002C3387" w:rsidRDefault="002C3387" w:rsidP="002C33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почты: </w:t>
      </w:r>
      <w:hyperlink r:id="rId11" w:history="1"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shd w:val="clear" w:color="auto" w:fill="FFFFFF"/>
            <w:lang w:eastAsia="ru-RU"/>
          </w:rPr>
          <w:t>anmrsk@bk.ru</w:t>
        </w:r>
      </w:hyperlink>
      <w:r w:rsidRPr="002C33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 (8-86544) 6-31-47. </w:t>
      </w:r>
    </w:p>
    <w:p w:rsidR="002C3387" w:rsidRPr="002C3387" w:rsidRDefault="002C3387" w:rsidP="002C33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Уполномоченный орган, принявший решение о проведении электронного аукциона: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</w:t>
      </w:r>
    </w:p>
    <w:p w:rsidR="002C3387" w:rsidRPr="002C3387" w:rsidRDefault="002C3387" w:rsidP="002C33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Оператор электронной площадки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C338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 «Сбербанк-АСТ». </w:t>
      </w:r>
    </w:p>
    <w:p w:rsidR="002C3387" w:rsidRPr="002C3387" w:rsidRDefault="002C3387" w:rsidP="002C33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сайта </w:t>
      </w:r>
      <w:hyperlink r:id="rId12" w:history="1"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http://utp.sberbank-ast.ru/AP</w:t>
        </w:r>
      </w:hyperlink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Адрес (местонахождение): 119435, г. Москва, Большой Саввинский переулок, дом 12, стр. 9, </w:t>
      </w:r>
    </w:p>
    <w:p w:rsidR="002C3387" w:rsidRPr="002C3387" w:rsidRDefault="002C3387" w:rsidP="002C33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тел.: +7 (495) 787-29-97, +7(495) 787-29-99.  (</w:t>
      </w:r>
      <w:proofErr w:type="gram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</w:t>
      </w:r>
      <w:proofErr w:type="gram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Оператор).</w:t>
      </w:r>
    </w:p>
    <w:p w:rsidR="002C3387" w:rsidRPr="002C3387" w:rsidRDefault="002C3387" w:rsidP="002C338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проведения аукциона: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 аукцион, открытый по форме подачи предложений о цене и открытый по составу участников.</w:t>
      </w:r>
    </w:p>
    <w:p w:rsidR="002C3387" w:rsidRPr="002C3387" w:rsidRDefault="002C3387" w:rsidP="002C3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2C338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Место проведения аукциона:</w:t>
      </w:r>
      <w:r w:rsidRPr="002C3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электронная площадка АО "Сбербанк - АСТ", размещенная на сайте:</w:t>
      </w:r>
      <w:hyperlink r:id="rId13" w:history="1"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 xml:space="preserve"> http://utp.sberbank-ast.ru </w:t>
        </w:r>
      </w:hyperlink>
      <w:r w:rsidRPr="002C3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сети Интернет (торговая секция "Приватизация, аренда и продажа прав")</w:t>
      </w:r>
    </w:p>
    <w:p w:rsidR="002C3387" w:rsidRPr="002C3387" w:rsidRDefault="002C3387" w:rsidP="002C33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Плата оператору электронной площадки за участие в электронном аукционе:</w:t>
      </w:r>
    </w:p>
    <w:p w:rsidR="002C3387" w:rsidRPr="002C3387" w:rsidRDefault="002C3387" w:rsidP="002C33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Внимание! Размер платы Оператору электронной площадки за участие в электронном аукционе, взимаемой с победителя электронного аукциона или иных лиц, с которыми в соответствии с </w:t>
      </w:r>
      <w:hyperlink r:id="rId14" w:history="1">
        <w:r w:rsidRPr="002C3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13</w:t>
        </w:r>
      </w:hyperlink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5" w:history="1">
        <w:r w:rsidRPr="002C3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</w:t>
        </w:r>
      </w:hyperlink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6" w:history="1">
        <w:r w:rsidRPr="002C3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</w:t>
        </w:r>
      </w:hyperlink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7" w:history="1">
        <w:r w:rsidRPr="002C3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25 статьи 39.12</w:t>
        </w:r>
      </w:hyperlink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 заключается договор аренды земельного участка, установлен в соответствии с Регламентом Оператора 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электронной площадки.</w:t>
      </w:r>
    </w:p>
    <w:p w:rsidR="002C3387" w:rsidRPr="002C3387" w:rsidRDefault="002C3387" w:rsidP="002C3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Информация о размере взимаемой оператором электронной площадки платы за участие в аукционе с победителя аукциона или иного лица, с которым заключается договор по результатам аукциона, содержится на сайте оператора электронной площадки АО «Сбербанк - АСТ» в разделе «Тарифы» торговой секции «Приватизация, аренда и продажа прав»</w:t>
      </w:r>
    </w:p>
    <w:p w:rsidR="002C3387" w:rsidRPr="002C3387" w:rsidRDefault="002C3387" w:rsidP="002C3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C338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Дата и время проведения аукциона: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02 октября 2023 года с 09 час. 00 мин.</w:t>
      </w:r>
    </w:p>
    <w:p w:rsidR="002C3387" w:rsidRPr="002C3387" w:rsidRDefault="002C3387" w:rsidP="002C3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zh-CN"/>
        </w:rPr>
        <w:t>Указанное в настоящем информационном сообщении время- московское. При исчислении сроков, указанных в настоящем информационном извещении, принимается время сервера электронной торговой площадки-московское.</w:t>
      </w:r>
    </w:p>
    <w:p w:rsidR="002C3387" w:rsidRPr="002C3387" w:rsidRDefault="002C3387" w:rsidP="002C3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2C338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Дата и время начала приема заявок: 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28 августа </w:t>
      </w:r>
      <w:r w:rsidRPr="002C3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 00 час. 00 мин. по московскому времени</w:t>
      </w:r>
    </w:p>
    <w:p w:rsidR="002C3387" w:rsidRPr="002C3387" w:rsidRDefault="002C3387" w:rsidP="002C3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C338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Дата и время окончания приема заявок: </w:t>
      </w:r>
      <w:r w:rsidRPr="002C338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27 сентября</w:t>
      </w:r>
      <w:r w:rsidRPr="002C338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2C3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 23:59 мин. по московскому времени.</w:t>
      </w:r>
    </w:p>
    <w:p w:rsidR="002C3387" w:rsidRPr="002C3387" w:rsidRDefault="002C3387" w:rsidP="002C3387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Адрес места приема и порядок подачи заявок на участие в аукционе: </w:t>
      </w:r>
      <w:r w:rsidRPr="002C3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сайте:</w:t>
      </w:r>
      <w:hyperlink r:id="rId18" w:history="1"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 xml:space="preserve"> httD://ut</w:t>
        </w:r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p</w:t>
        </w:r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 xml:space="preserve">.sberbank-ast.ru </w:t>
        </w:r>
      </w:hyperlink>
      <w:r w:rsidRPr="002C3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сети Интернет (торговая секция "Приватизация, аренда и продажа прав").</w:t>
      </w:r>
    </w:p>
    <w:p w:rsidR="002C3387" w:rsidRPr="002C3387" w:rsidRDefault="002C3387" w:rsidP="002C3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2C3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Подача заявки на участие в аукционе осуществляется только посредствам интерфейса универсальной торговой платформы АО "Сбербанк - АСТ" торговой секции "Приватизация, аренда и продажа прав" из личного кабинета заявителя. Время приема заявок: в соответствии с </w:t>
      </w:r>
      <w:hyperlink r:id="rId19" w:history="1">
        <w:r w:rsidRPr="002C3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Регламентом</w:t>
        </w:r>
      </w:hyperlink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20" w:history="1">
        <w:r w:rsidRPr="002C3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универсальной торговой платформы АО "Сбербанк - АСТ"</w:t>
        </w:r>
      </w:hyperlink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3387" w:rsidRPr="002C3387" w:rsidRDefault="002C3387" w:rsidP="002C3387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Срок и порядок </w:t>
      </w:r>
      <w:r w:rsidRPr="002C33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внесения задатка, реквизиты счета для перечисления задатка: </w:t>
      </w:r>
      <w:r w:rsidRPr="002C3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Задаток на участие в аукционе должен быть внесен заявителем на реквизиты Оператора электронной площадки не позднее даты и времени окончания приема заявок на участие в аукционе.</w:t>
      </w:r>
    </w:p>
    <w:p w:rsidR="002C3387" w:rsidRPr="002C3387" w:rsidRDefault="002C3387" w:rsidP="002C3387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Перечисление задатка для участия в аукционе и возврат задатка осуществляются с учетом особенностей, установленных регламентом торговой площадки на реквизиты Оператора электронной площадки, и блокируется им.</w:t>
      </w:r>
    </w:p>
    <w:p w:rsidR="002C3387" w:rsidRPr="002C3387" w:rsidRDefault="002C3387" w:rsidP="002C3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C3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Претендент осуществляет перечисление денежных средств в сумме задатка на реквизиты счета Оператора электронной площадки. </w:t>
      </w:r>
    </w:p>
    <w:p w:rsidR="002C3387" w:rsidRPr="002C3387" w:rsidRDefault="002C3387" w:rsidP="002C3387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C33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Реквизиты счета Оператора электронной площадки для перечисления задатка: 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Перечисление денежных средств на счёт Оператора электронной площадки производится по следующим реквизитам: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Получатель платежа: АО " Сбербанк- АСТ"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Банковские реквизиты: ПАО "Сбербанк России" г. Москва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БИК 044525225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Расчетный счет: 40702810300020038047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Корреспондентский счет: 30101810400000000225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ИНН 7707308480 КПП 770401001</w:t>
      </w:r>
    </w:p>
    <w:p w:rsidR="002C3387" w:rsidRPr="002C3387" w:rsidRDefault="002C3387" w:rsidP="002C338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назначении платежа необходимо указать:</w:t>
      </w:r>
    </w:p>
    <w:p w:rsidR="002C3387" w:rsidRPr="002C3387" w:rsidRDefault="002C3387" w:rsidP="002C3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2C3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"</w:t>
      </w:r>
      <w:r w:rsidRPr="002C33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Перечисление денежных средств в качестве задатка (ИНН плательщика), НДС не облагается”</w:t>
      </w:r>
    </w:p>
    <w:p w:rsidR="002C3387" w:rsidRPr="002C3387" w:rsidRDefault="002C3387" w:rsidP="002C3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 xml:space="preserve">Дата и время рассмотрения заявок на участие в аукционе: </w:t>
      </w:r>
      <w:r w:rsidRPr="002C33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29</w:t>
      </w:r>
      <w:r w:rsidRPr="002C3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сентября в 14.00 час</w:t>
      </w:r>
      <w:proofErr w:type="gramStart"/>
      <w:r w:rsidRPr="002C3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по</w:t>
      </w:r>
      <w:proofErr w:type="gramEnd"/>
      <w:r w:rsidRPr="002C3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московскому времени на электронной торговой площадке в сети Интернет </w:t>
      </w:r>
      <w:hyperlink r:id="rId21" w:history="1"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httos://ut</w:t>
        </w:r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p</w:t>
        </w:r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.sberbank-ast.ru</w:t>
        </w:r>
      </w:hyperlink>
      <w:r w:rsidRPr="002C3387">
        <w:rPr>
          <w:rFonts w:ascii="Times New Roman" w:eastAsia="Times New Roman" w:hAnsi="Times New Roman" w:cs="Times New Roman"/>
          <w:color w:val="0563C1"/>
          <w:sz w:val="28"/>
          <w:szCs w:val="28"/>
          <w:u w:val="single"/>
          <w:lang w:eastAsia="ru-RU"/>
        </w:rPr>
        <w:t xml:space="preserve"> </w:t>
      </w:r>
    </w:p>
    <w:p w:rsidR="002C3387" w:rsidRPr="002C3387" w:rsidRDefault="002C3387" w:rsidP="002C3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C33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Порядок проведения аукциона: </w:t>
      </w:r>
      <w:r w:rsidRPr="002C3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Регламентирован статьями 39.11-39.13 Земельного кодекса Российской Федерации </w:t>
      </w:r>
    </w:p>
    <w:p w:rsidR="002C3387" w:rsidRPr="002C3387" w:rsidRDefault="002C3387" w:rsidP="002C338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3387" w:rsidRPr="002C3387" w:rsidRDefault="002C3387" w:rsidP="002C338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электронного аукциона:</w:t>
      </w:r>
    </w:p>
    <w:p w:rsidR="002C3387" w:rsidRPr="002C3387" w:rsidRDefault="002C3387" w:rsidP="002C338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ЛОТ№1.</w:t>
      </w:r>
    </w:p>
    <w:p w:rsidR="002C3387" w:rsidRPr="002C3387" w:rsidRDefault="002C3387" w:rsidP="002C338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заключения договора аренды земельного участка, государственная собственность на который не разграничена:</w:t>
      </w:r>
    </w:p>
    <w:p w:rsidR="002C3387" w:rsidRPr="002C3387" w:rsidRDefault="002C3387" w:rsidP="002C338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095"/>
        <w:gridCol w:w="2268"/>
      </w:tblGrid>
      <w:tr w:rsidR="002C3387" w:rsidRPr="002C3387" w:rsidTr="000868B3">
        <w:tc>
          <w:tcPr>
            <w:tcW w:w="993" w:type="dxa"/>
          </w:tcPr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лота</w:t>
            </w:r>
          </w:p>
        </w:tc>
        <w:tc>
          <w:tcPr>
            <w:tcW w:w="6095" w:type="dxa"/>
          </w:tcPr>
          <w:p w:rsidR="002C3387" w:rsidRPr="002C3387" w:rsidRDefault="002C3387" w:rsidP="002C3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Характеристика земельного участка: </w:t>
            </w:r>
          </w:p>
          <w:p w:rsidR="002C3387" w:rsidRPr="002C3387" w:rsidRDefault="002C3387" w:rsidP="002C3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C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</w:t>
            </w:r>
            <w:proofErr w:type="gramEnd"/>
            <w:r w:rsidRPr="002C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номер; категория земель; площадь; адрес; разрешенное использование; обременения </w:t>
            </w:r>
          </w:p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цена (размер ежегодной арендной платы); «шаг аукциона»; размер </w:t>
            </w:r>
            <w:proofErr w:type="gramStart"/>
            <w:r w:rsidRPr="002C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задатка  (</w:t>
            </w:r>
            <w:proofErr w:type="gramEnd"/>
            <w:r w:rsidRPr="002C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рублей); </w:t>
            </w:r>
          </w:p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C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</w:t>
            </w:r>
            <w:proofErr w:type="gramEnd"/>
            <w:r w:rsidRPr="002C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аренды</w:t>
            </w:r>
          </w:p>
        </w:tc>
      </w:tr>
      <w:tr w:rsidR="002C3387" w:rsidRPr="002C3387" w:rsidTr="000868B3">
        <w:tc>
          <w:tcPr>
            <w:tcW w:w="993" w:type="dxa"/>
          </w:tcPr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5" w:type="dxa"/>
          </w:tcPr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</w:tcPr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C3387" w:rsidRPr="002C3387" w:rsidTr="000868B3">
        <w:tc>
          <w:tcPr>
            <w:tcW w:w="993" w:type="dxa"/>
          </w:tcPr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095" w:type="dxa"/>
          </w:tcPr>
          <w:p w:rsidR="002C3387" w:rsidRPr="002C3387" w:rsidRDefault="002C3387" w:rsidP="002C338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x-none" w:eastAsia="x-none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26:04: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020301:274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, земли 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населенных пунктов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, 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1712 </w:t>
            </w:r>
            <w:proofErr w:type="spell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кв.метров</w:t>
            </w:r>
            <w:proofErr w:type="spell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, 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адрес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: 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Российская Федерация, 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Ставропольский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край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, </w:t>
            </w:r>
            <w:proofErr w:type="spell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Новоалександровский</w:t>
            </w:r>
            <w:proofErr w:type="spell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городской округ, станица </w:t>
            </w:r>
            <w:proofErr w:type="spell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Расшеватская</w:t>
            </w:r>
            <w:proofErr w:type="spell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, ул. Куйбышева, земельный участок 122/2,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обеспечение сельскохозяйственного производства (код 1.18);</w:t>
            </w:r>
            <w:r w:rsidRPr="002C33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x-none" w:eastAsia="x-none"/>
              </w:rPr>
              <w:t xml:space="preserve"> </w:t>
            </w:r>
          </w:p>
          <w:p w:rsidR="002C3387" w:rsidRPr="002C3387" w:rsidRDefault="002C3387" w:rsidP="002C3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Земельный участок полностью расположен в границах зоны с реестровым номером 26:04-6.857 от 14.04.2022, ограничение использования земельного участка в пределах зоны: В границах санитарно-защитной зоны не допускается использование земельных участков в следующих целях – размещение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дачного хозяйства и садоводства, согласно подпункта </w:t>
            </w:r>
            <w:r w:rsidRPr="002C3387">
              <w:rPr>
                <w:rFonts w:ascii="Cambria Math" w:eastAsia="TimesNewRomanPSMT" w:hAnsi="Cambria Math" w:cs="Cambria Math"/>
                <w:sz w:val="24"/>
                <w:szCs w:val="24"/>
                <w:lang w:eastAsia="ru-RU"/>
              </w:rPr>
              <w:t>≪</w:t>
            </w:r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а</w:t>
            </w:r>
            <w:r w:rsidRPr="002C3387">
              <w:rPr>
                <w:rFonts w:ascii="Cambria Math" w:eastAsia="TimesNewRomanPSMT" w:hAnsi="Cambria Math" w:cs="Cambria Math"/>
                <w:sz w:val="24"/>
                <w:szCs w:val="24"/>
                <w:lang w:eastAsia="ru-RU"/>
              </w:rPr>
              <w:t>≫</w:t>
            </w:r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пункта 5 Правил установления санитарно-защитных зон и использования земельных участков, расположенных в границах санитарно-защитных зон, утвержденных Постановлением Правительством РФ от 03.03.2018 № 222 </w:t>
            </w:r>
            <w:r w:rsidRPr="002C3387">
              <w:rPr>
                <w:rFonts w:ascii="Cambria Math" w:eastAsia="TimesNewRomanPSMT" w:hAnsi="Cambria Math" w:cs="Cambria Math"/>
                <w:sz w:val="24"/>
                <w:szCs w:val="24"/>
                <w:lang w:eastAsia="ru-RU"/>
              </w:rPr>
              <w:t>≪</w:t>
            </w:r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Об утверждении правил установления санитарно-защитных зон и использования земельных участков, расположенных в границах санитарно-защитных зон</w:t>
            </w:r>
            <w:r w:rsidRPr="002C3387">
              <w:rPr>
                <w:rFonts w:ascii="Cambria Math" w:eastAsia="TimesNewRomanPSMT" w:hAnsi="Cambria Math" w:cs="Cambria Math"/>
                <w:sz w:val="24"/>
                <w:szCs w:val="24"/>
                <w:lang w:eastAsia="ru-RU"/>
              </w:rPr>
              <w:t>≫</w:t>
            </w:r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; -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</w:t>
            </w:r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сооружений для подготовки и хранения питьевой воды, использования земельных участков в целях производства, хранения. В границах санитарно-защитной зоны не допускается использование земельных участков в следующих целях - размещение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дачного хозяйства и садоводства, согласно подпункта </w:t>
            </w:r>
            <w:r w:rsidRPr="002C3387">
              <w:rPr>
                <w:rFonts w:ascii="Cambria Math" w:eastAsia="TimesNewRomanPSMT" w:hAnsi="Cambria Math" w:cs="Cambria Math"/>
                <w:sz w:val="24"/>
                <w:szCs w:val="24"/>
                <w:lang w:eastAsia="ru-RU"/>
              </w:rPr>
              <w:t>≪</w:t>
            </w:r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а</w:t>
            </w:r>
            <w:r w:rsidRPr="002C3387">
              <w:rPr>
                <w:rFonts w:ascii="Cambria Math" w:eastAsia="TimesNewRomanPSMT" w:hAnsi="Cambria Math" w:cs="Cambria Math"/>
                <w:sz w:val="24"/>
                <w:szCs w:val="24"/>
                <w:lang w:eastAsia="ru-RU"/>
              </w:rPr>
              <w:t>≫</w:t>
            </w:r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пункта 5 Правил установления санитарно-защитных зон и использования земельных участков, расположенных в границах санитарно-защитных зон, утвержденных Постановлением Правительством РФ от 03.03.2018 № 222 </w:t>
            </w:r>
            <w:r w:rsidRPr="002C3387">
              <w:rPr>
                <w:rFonts w:ascii="Cambria Math" w:eastAsia="TimesNewRomanPSMT" w:hAnsi="Cambria Math" w:cs="Cambria Math"/>
                <w:sz w:val="24"/>
                <w:szCs w:val="24"/>
                <w:lang w:eastAsia="ru-RU"/>
              </w:rPr>
              <w:t>≪</w:t>
            </w:r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Об утверждении правил установления санитарно-защитных зон и использования земельных участков, расположенных в границах санитарно-</w:t>
            </w:r>
          </w:p>
          <w:p w:rsidR="002C3387" w:rsidRPr="002C3387" w:rsidRDefault="002C3387" w:rsidP="002C3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защитных</w:t>
            </w:r>
            <w:proofErr w:type="gramEnd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зон</w:t>
            </w:r>
            <w:r w:rsidRPr="002C3387">
              <w:rPr>
                <w:rFonts w:ascii="Cambria Math" w:eastAsia="TimesNewRomanPSMT" w:hAnsi="Cambria Math" w:cs="Cambria Math"/>
                <w:sz w:val="24"/>
                <w:szCs w:val="24"/>
                <w:lang w:eastAsia="ru-RU"/>
              </w:rPr>
              <w:t>≫</w:t>
            </w:r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; -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</w:t>
            </w:r>
          </w:p>
          <w:p w:rsidR="002C3387" w:rsidRPr="002C3387" w:rsidRDefault="002C3387" w:rsidP="002C3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земельных</w:t>
            </w:r>
            <w:proofErr w:type="gramEnd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участков в целях производства, хранения и переработки сельскохозяйственной продукции,</w:t>
            </w:r>
          </w:p>
          <w:p w:rsidR="002C3387" w:rsidRPr="002C3387" w:rsidRDefault="002C3387" w:rsidP="002C3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предназначенной</w:t>
            </w:r>
            <w:proofErr w:type="gramEnd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для дальнейшего использования в качестве пищевой продукции, согласно подпункта </w:t>
            </w:r>
            <w:r w:rsidRPr="002C3387">
              <w:rPr>
                <w:rFonts w:ascii="Cambria Math" w:eastAsia="TimesNewRomanPSMT" w:hAnsi="Cambria Math" w:cs="Cambria Math"/>
                <w:sz w:val="24"/>
                <w:szCs w:val="24"/>
                <w:lang w:eastAsia="ru-RU"/>
              </w:rPr>
              <w:t>≪</w:t>
            </w:r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б</w:t>
            </w:r>
            <w:r w:rsidRPr="002C3387">
              <w:rPr>
                <w:rFonts w:ascii="Cambria Math" w:eastAsia="TimesNewRomanPSMT" w:hAnsi="Cambria Math" w:cs="Cambria Math"/>
                <w:sz w:val="24"/>
                <w:szCs w:val="24"/>
                <w:lang w:eastAsia="ru-RU"/>
              </w:rPr>
              <w:t>≫</w:t>
            </w:r>
          </w:p>
          <w:p w:rsidR="002C3387" w:rsidRPr="002C3387" w:rsidRDefault="002C3387" w:rsidP="002C3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пункта</w:t>
            </w:r>
            <w:proofErr w:type="gramEnd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5 Правил. Обоснование (при необходимости) возможности Использования земельных участков для</w:t>
            </w:r>
          </w:p>
          <w:p w:rsidR="002C3387" w:rsidRPr="002C3387" w:rsidRDefault="002C3387" w:rsidP="002C3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целей</w:t>
            </w:r>
            <w:proofErr w:type="gramEnd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, указанных в подпунктах </w:t>
            </w:r>
            <w:r w:rsidRPr="002C3387">
              <w:rPr>
                <w:rFonts w:ascii="Cambria Math" w:eastAsia="TimesNewRomanPSMT" w:hAnsi="Cambria Math" w:cs="Cambria Math"/>
                <w:sz w:val="24"/>
                <w:szCs w:val="24"/>
                <w:lang w:eastAsia="ru-RU"/>
              </w:rPr>
              <w:t>≪</w:t>
            </w:r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а</w:t>
            </w:r>
            <w:r w:rsidRPr="002C3387">
              <w:rPr>
                <w:rFonts w:ascii="Cambria Math" w:eastAsia="TimesNewRomanPSMT" w:hAnsi="Cambria Math" w:cs="Cambria Math"/>
                <w:sz w:val="24"/>
                <w:szCs w:val="24"/>
                <w:lang w:eastAsia="ru-RU"/>
              </w:rPr>
              <w:t>≫</w:t>
            </w:r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пункта 5 Правил, в том числе с учетом расчетов рассеивания</w:t>
            </w:r>
          </w:p>
          <w:p w:rsidR="002C3387" w:rsidRPr="002C3387" w:rsidRDefault="002C3387" w:rsidP="002C3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загрязнения</w:t>
            </w:r>
            <w:proofErr w:type="gramEnd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атмосферного воздуха, физического воздействия на атмосферный воздух и оценки риска для</w:t>
            </w:r>
          </w:p>
          <w:p w:rsidR="002C3387" w:rsidRPr="002C3387" w:rsidRDefault="002C3387" w:rsidP="002C3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здоровья</w:t>
            </w:r>
            <w:proofErr w:type="gramEnd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человека (в случае, если в проекте не предусмотрено установление таких ограничений</w:t>
            </w:r>
          </w:p>
          <w:p w:rsidR="002C3387" w:rsidRPr="002C3387" w:rsidRDefault="002C3387" w:rsidP="002C3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использования</w:t>
            </w:r>
            <w:proofErr w:type="gramEnd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земельных участков). </w:t>
            </w:r>
            <w:proofErr w:type="spellStart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и переработки сельскохозяйственной продукции, предназначенной для дальнейшего использования в качестве пищевой продукции, согласно подпункта </w:t>
            </w:r>
            <w:r w:rsidRPr="002C3387">
              <w:rPr>
                <w:rFonts w:ascii="Cambria Math" w:eastAsia="TimesNewRomanPSMT" w:hAnsi="Cambria Math" w:cs="Cambria Math"/>
                <w:sz w:val="24"/>
                <w:szCs w:val="24"/>
                <w:lang w:eastAsia="ru-RU"/>
              </w:rPr>
              <w:t>≪</w:t>
            </w:r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б</w:t>
            </w:r>
            <w:r w:rsidRPr="002C3387">
              <w:rPr>
                <w:rFonts w:ascii="Cambria Math" w:eastAsia="TimesNewRomanPSMT" w:hAnsi="Cambria Math" w:cs="Cambria Math"/>
                <w:sz w:val="24"/>
                <w:szCs w:val="24"/>
                <w:lang w:eastAsia="ru-RU"/>
              </w:rPr>
              <w:t>≫</w:t>
            </w:r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пункта 5 Правил. Обоснование (при необходимости) возможности Использования земельных участков для целей, указанных в подпунктах </w:t>
            </w:r>
            <w:r w:rsidRPr="002C3387">
              <w:rPr>
                <w:rFonts w:ascii="Cambria Math" w:eastAsia="TimesNewRomanPSMT" w:hAnsi="Cambria Math" w:cs="Cambria Math"/>
                <w:sz w:val="24"/>
                <w:szCs w:val="24"/>
                <w:lang w:eastAsia="ru-RU"/>
              </w:rPr>
              <w:t>≪</w:t>
            </w:r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а</w:t>
            </w:r>
            <w:r w:rsidRPr="002C3387">
              <w:rPr>
                <w:rFonts w:ascii="Cambria Math" w:eastAsia="TimesNewRomanPSMT" w:hAnsi="Cambria Math" w:cs="Cambria Math"/>
                <w:sz w:val="24"/>
                <w:szCs w:val="24"/>
                <w:lang w:eastAsia="ru-RU"/>
              </w:rPr>
              <w:t>≫</w:t>
            </w:r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пункта 5 Правил, в том числе с учетом расчетов рассеивания загрязнения атмосферного воздуха, физического воздействия на атмосферный воздух и оценки риска для здоровья человека (в случае, если в проекте не предусмотрено установление таких ограничений использования земельных участков)., вид/наименование: Санитарно-защитная зона для </w:t>
            </w:r>
            <w:proofErr w:type="spellStart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промплощадки</w:t>
            </w:r>
            <w:proofErr w:type="spellEnd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ИП Главы КФХ Новичихина В.В., которая относится к IVI классу опасности, тип: Санитарно-защитная зона предприятий, сооружений и иных объектов, номер: 1, дата решения: 28.12.2021, номер </w:t>
            </w:r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lastRenderedPageBreak/>
              <w:t>решения: 314/р-2021 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13.02.2023; реквизиты документа-основания: решение от 28.12.2021 № 314/р-2021. вид ограничения (обременения):</w:t>
            </w:r>
          </w:p>
          <w:p w:rsidR="002C3387" w:rsidRPr="002C3387" w:rsidRDefault="002C3387" w:rsidP="002C3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ограничения</w:t>
            </w:r>
            <w:proofErr w:type="gramEnd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прав на земельный участок, предусмотренные статьей 56 Земельного кодекса</w:t>
            </w:r>
          </w:p>
          <w:p w:rsidR="002C3387" w:rsidRPr="002C3387" w:rsidRDefault="002C3387" w:rsidP="002C3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Российской Федерации; срок действия: c 13.02.2023; реквизиты документа-основания: водный</w:t>
            </w:r>
          </w:p>
          <w:p w:rsidR="002C3387" w:rsidRPr="002C3387" w:rsidRDefault="002C3387" w:rsidP="002C3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кодекс</w:t>
            </w:r>
            <w:proofErr w:type="gramEnd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от 03.06.2006 № 74 выдан: -; карта (план) объекта землеустройства от 10.12.2018 № б/н</w:t>
            </w:r>
          </w:p>
          <w:p w:rsidR="002C3387" w:rsidRPr="002C3387" w:rsidRDefault="002C3387" w:rsidP="002C3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: -; приказ от 15.01.2018 № 5 выдан: Министерство природных ресурсов и охраны окружающей</w:t>
            </w:r>
          </w:p>
          <w:p w:rsidR="002C3387" w:rsidRPr="002C3387" w:rsidRDefault="002C3387" w:rsidP="002C338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2C3387">
              <w:rPr>
                <w:rFonts w:ascii="Times New Roman" w:eastAsia="TimesNewRomanPSMT" w:hAnsi="Times New Roman" w:cs="Times New Roman"/>
                <w:sz w:val="24"/>
                <w:szCs w:val="24"/>
                <w:lang w:val="x-none" w:eastAsia="x-none"/>
              </w:rPr>
              <w:t>среды Ставропольского края.</w:t>
            </w:r>
          </w:p>
          <w:p w:rsidR="002C3387" w:rsidRPr="002C3387" w:rsidRDefault="002C3387" w:rsidP="002C3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</w:p>
        </w:tc>
        <w:tc>
          <w:tcPr>
            <w:tcW w:w="2268" w:type="dxa"/>
          </w:tcPr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lastRenderedPageBreak/>
              <w:t>2531,88</w:t>
            </w:r>
          </w:p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75,96</w:t>
            </w:r>
          </w:p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2531,88</w:t>
            </w:r>
          </w:p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2C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год 6 месяцев</w:t>
            </w:r>
          </w:p>
        </w:tc>
      </w:tr>
    </w:tbl>
    <w:p w:rsidR="002C3387" w:rsidRPr="002C3387" w:rsidRDefault="002C3387" w:rsidP="002C338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1.1.Земельный участок с кадастровым номером 26:04:020301:274, земли населенных пунктов, 1712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кв.метров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адрес: Российская Федерация, Ставропольский край,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Новоалександровский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округ, станица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Расшеватская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Куйбышева, земельный участок 122/2, предоставляется в аренду с разрешенным использованием: обеспечение сельскохозяйственного производства (код 1.18). Земельный участок входит в состав зоны СХ-2. Зона объектов сельскохозяйственного использования, для которой </w:t>
      </w:r>
      <w:r w:rsidRPr="002C3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Правилами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землепользования и застройки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 утвержденными постановлением администрации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от 18.08.2021 №1122 «Об утверждении правил землепользования и застройки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края» определены следующие виды разрешенного использования и установлены параметры использования земельных участков и объектов капитального строительства</w:t>
      </w:r>
    </w:p>
    <w:p w:rsidR="002C3387" w:rsidRPr="002C3387" w:rsidRDefault="002C3387" w:rsidP="002C3387">
      <w:pPr>
        <w:widowControl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 w:rsidRPr="002C3387">
        <w:rPr>
          <w:rFonts w:ascii="Times New Roman" w:eastAsia="Cambria" w:hAnsi="Times New Roman" w:cs="Times New Roman"/>
          <w:b/>
          <w:sz w:val="28"/>
          <w:szCs w:val="28"/>
        </w:rPr>
        <w:t>Основные виды разрешённого использования земельных участков зоны СХ-2</w:t>
      </w:r>
    </w:p>
    <w:p w:rsidR="002C3387" w:rsidRPr="002C3387" w:rsidRDefault="002C3387" w:rsidP="002C3387">
      <w:pPr>
        <w:widowControl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tbl>
      <w:tblPr>
        <w:tblW w:w="4957" w:type="pct"/>
        <w:tblInd w:w="-6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"/>
        <w:gridCol w:w="2744"/>
        <w:gridCol w:w="5472"/>
      </w:tblGrid>
      <w:tr w:rsidR="002C3387" w:rsidRPr="002C3387" w:rsidTr="000868B3">
        <w:trPr>
          <w:trHeight w:val="327"/>
        </w:trPr>
        <w:tc>
          <w:tcPr>
            <w:tcW w:w="568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код классификатора</w:t>
            </w:r>
          </w:p>
        </w:tc>
        <w:tc>
          <w:tcPr>
            <w:tcW w:w="1480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 xml:space="preserve">наименование вида разрешённого </w:t>
            </w:r>
          </w:p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использования</w:t>
            </w:r>
          </w:p>
        </w:tc>
        <w:tc>
          <w:tcPr>
            <w:tcW w:w="2952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описание вида разрешённого использования</w:t>
            </w:r>
          </w:p>
        </w:tc>
      </w:tr>
      <w:tr w:rsidR="002C3387" w:rsidRPr="002C3387" w:rsidTr="000868B3">
        <w:trPr>
          <w:trHeight w:val="971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1.1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</w:t>
            </w:r>
            <w:r w:rsidRPr="002C3387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 xml:space="preserve">я с </w:t>
            </w:r>
            <w:hyperlink r:id="rId22" w:anchor="sub_1012" w:history="1">
              <w:r w:rsidRPr="002C3387">
                <w:rPr>
                  <w:rFonts w:ascii="Times New Roman" w:eastAsia="Helvetica Neue Light" w:hAnsi="Times New Roman" w:cs="Times New Roman"/>
                  <w:sz w:val="24"/>
                  <w:szCs w:val="24"/>
                  <w:bdr w:val="nil"/>
                  <w:lang w:eastAsia="ru-RU"/>
                </w:rPr>
                <w:t>кодами 1.2-1.6</w:t>
              </w:r>
            </w:hyperlink>
          </w:p>
        </w:tc>
      </w:tr>
      <w:tr w:rsidR="002C3387" w:rsidRPr="002C3387" w:rsidTr="000868B3">
        <w:trPr>
          <w:trHeight w:val="2038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  <w:lastRenderedPageBreak/>
              <w:t>1.7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23" w:anchor="sub_1018" w:history="1">
              <w:r w:rsidRPr="002C338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кодами 1.8-1.11</w:t>
              </w:r>
            </w:hyperlink>
          </w:p>
        </w:tc>
      </w:tr>
      <w:tr w:rsidR="002C3387" w:rsidRPr="002C3387" w:rsidTr="000868B3">
        <w:trPr>
          <w:trHeight w:val="1933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  <w:t>1.8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сенокошение</w:t>
            </w:r>
            <w:proofErr w:type="gram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</w:p>
        </w:tc>
      </w:tr>
      <w:tr w:rsidR="002C3387" w:rsidRPr="002C3387" w:rsidTr="000868B3">
        <w:trPr>
          <w:trHeight w:val="1471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  <w:t>1.9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</w:t>
            </w:r>
            <w:proofErr w:type="gram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</w:t>
            </w:r>
            <w:proofErr w:type="gram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племенных животных, производство и использование племенной продукции (материала)</w:t>
            </w:r>
          </w:p>
        </w:tc>
      </w:tr>
      <w:tr w:rsidR="002C3387" w:rsidRPr="002C3387" w:rsidTr="000868B3">
        <w:trPr>
          <w:trHeight w:val="1947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  <w:t>1.10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Птицеводство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</w:t>
            </w:r>
            <w:proofErr w:type="gram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</w:t>
            </w:r>
            <w:proofErr w:type="gram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племенных животных, производство и использование племенной продукции (материала)</w:t>
            </w:r>
          </w:p>
        </w:tc>
      </w:tr>
      <w:tr w:rsidR="002C3387" w:rsidRPr="002C3387" w:rsidTr="000868B3">
        <w:trPr>
          <w:trHeight w:val="1214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  <w:t>1.11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свиней;</w:t>
            </w:r>
          </w:p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</w:t>
            </w:r>
            <w:proofErr w:type="gram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</w:t>
            </w:r>
            <w:proofErr w:type="gram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племенных животных, производство и использование племенной продукции (материала)</w:t>
            </w:r>
          </w:p>
        </w:tc>
      </w:tr>
      <w:tr w:rsidR="002C3387" w:rsidRPr="002C3387" w:rsidTr="000868B3">
        <w:trPr>
          <w:trHeight w:val="1896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  <w:lastRenderedPageBreak/>
              <w:t>1.12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Пчеловодство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</w:t>
            </w:r>
            <w:proofErr w:type="gram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ульев, иных объектов и оборудования, необходимого для пчеловодства и разведениях иных полезных насекомых;</w:t>
            </w:r>
          </w:p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</w:t>
            </w:r>
            <w:proofErr w:type="gram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сооружений используемых для хранения и первичной переработки продукции пчеловодства</w:t>
            </w:r>
          </w:p>
        </w:tc>
      </w:tr>
      <w:tr w:rsidR="002C3387" w:rsidRPr="002C3387" w:rsidTr="000868B3">
        <w:trPr>
          <w:trHeight w:val="1097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Cs/>
                <w:smallCaps/>
                <w:sz w:val="24"/>
                <w:szCs w:val="24"/>
                <w:bdr w:val="nil"/>
                <w:lang w:eastAsia="ru-RU"/>
              </w:rPr>
              <w:t>1.13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аквакультуры</w:t>
            </w:r>
            <w:proofErr w:type="spell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 размещение зданий, сооружений, оборудования, необходимых для осуществления рыбоводства (</w:t>
            </w:r>
            <w:proofErr w:type="spell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аквакультуры</w:t>
            </w:r>
            <w:proofErr w:type="spell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586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1.15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и переработка</w:t>
            </w:r>
          </w:p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сельскохозяйственной</w:t>
            </w:r>
            <w:proofErr w:type="gramEnd"/>
          </w:p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  <w:proofErr w:type="gramEnd"/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318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1.17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Питомники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</w:t>
            </w:r>
            <w:proofErr w:type="gram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сооружений, необходимых для указанных видов сельскохозяйственного производства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1165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1.18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</w:t>
            </w:r>
          </w:p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</w:t>
            </w:r>
            <w:proofErr w:type="gramEnd"/>
          </w:p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производства</w:t>
            </w:r>
            <w:proofErr w:type="gramEnd"/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351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1.19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Сенокошение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Кошение трав, сбор и заготовка сена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415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1.20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Выпас сельскохозяйственных животных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Выпас сельскохозяйственных животных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417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</w:pPr>
            <w:r w:rsidRPr="002C3387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3.1.1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</w:pPr>
            <w:r w:rsidRPr="002C3387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Предоставление коммунальных услуг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bdr w:val="nil"/>
              </w:rPr>
            </w:pPr>
            <w:r w:rsidRPr="002C338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855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lastRenderedPageBreak/>
              <w:t>12.0.1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Улично-дорожная сеть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2C338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велотранспортной</w:t>
            </w:r>
            <w:proofErr w:type="spellEnd"/>
            <w:r w:rsidRPr="002C338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 и инженерной инфраструктуры;</w:t>
            </w:r>
          </w:p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размещение</w:t>
            </w:r>
            <w:proofErr w:type="gramEnd"/>
            <w:r w:rsidRPr="002C338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ar186" w:tooltip="2.7.1" w:history="1">
              <w:r w:rsidRPr="002C3387">
                <w:rPr>
                  <w:rFonts w:ascii="Times New Roman" w:eastAsia="Arial Unicode MS" w:hAnsi="Times New Roman" w:cs="Times New Roman"/>
                  <w:sz w:val="24"/>
                  <w:szCs w:val="24"/>
                  <w:bdr w:val="nil"/>
                  <w:lang w:eastAsia="ru-RU"/>
                </w:rPr>
                <w:t>кодами 2.7.1</w:t>
              </w:r>
            </w:hyperlink>
            <w:r w:rsidRPr="002C338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, </w:t>
            </w:r>
            <w:hyperlink w:anchor="Par382" w:tooltip="4.9" w:history="1">
              <w:r w:rsidRPr="002C3387">
                <w:rPr>
                  <w:rFonts w:ascii="Times New Roman" w:eastAsia="Arial Unicode MS" w:hAnsi="Times New Roman" w:cs="Times New Roman"/>
                  <w:sz w:val="24"/>
                  <w:szCs w:val="24"/>
                  <w:bdr w:val="nil"/>
                  <w:lang w:eastAsia="ru-RU"/>
                </w:rPr>
                <w:t>4.9</w:t>
              </w:r>
            </w:hyperlink>
            <w:r w:rsidRPr="002C338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 xml:space="preserve">, </w:t>
            </w:r>
            <w:hyperlink w:anchor="Par567" w:tooltip="7.2.3" w:history="1">
              <w:r w:rsidRPr="002C3387">
                <w:rPr>
                  <w:rFonts w:ascii="Times New Roman" w:eastAsia="Arial Unicode MS" w:hAnsi="Times New Roman" w:cs="Times New Roman"/>
                  <w:sz w:val="24"/>
                  <w:szCs w:val="24"/>
                  <w:bdr w:val="nil"/>
                  <w:lang w:eastAsia="ru-RU"/>
                </w:rPr>
                <w:t>7.2.3</w:t>
              </w:r>
            </w:hyperlink>
            <w:r w:rsidRPr="002C338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eastAsia="ru-RU"/>
              </w:rPr>
              <w:t>, а также некапитальных сооружений, предназначенных для охраны транспортных средств</w:t>
            </w:r>
          </w:p>
        </w:tc>
      </w:tr>
    </w:tbl>
    <w:p w:rsidR="002C3387" w:rsidRPr="002C3387" w:rsidRDefault="002C3387" w:rsidP="002C3387">
      <w:pPr>
        <w:widowControl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2C3387" w:rsidRPr="002C3387" w:rsidRDefault="002C3387" w:rsidP="002C3387">
      <w:pPr>
        <w:spacing w:after="0" w:line="240" w:lineRule="auto"/>
        <w:rPr>
          <w:rFonts w:ascii="Times New Roman" w:eastAsia="Cambria" w:hAnsi="Times New Roman" w:cs="Times New Roman"/>
          <w:b/>
          <w:sz w:val="24"/>
          <w:szCs w:val="24"/>
        </w:rPr>
      </w:pPr>
    </w:p>
    <w:p w:rsidR="002C3387" w:rsidRPr="002C3387" w:rsidRDefault="002C3387" w:rsidP="002C3387">
      <w:pPr>
        <w:widowControl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2C3387">
        <w:rPr>
          <w:rFonts w:ascii="Times New Roman" w:eastAsia="Cambria" w:hAnsi="Times New Roman" w:cs="Times New Roman"/>
          <w:b/>
          <w:sz w:val="24"/>
          <w:szCs w:val="24"/>
        </w:rPr>
        <w:t>Условно-разрешённые виды разрешённого использования земельных участков зоны СХ-2</w:t>
      </w:r>
    </w:p>
    <w:p w:rsidR="002C3387" w:rsidRPr="002C3387" w:rsidRDefault="002C3387" w:rsidP="002C3387">
      <w:pPr>
        <w:widowControl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tbl>
      <w:tblPr>
        <w:tblW w:w="4957" w:type="pct"/>
        <w:tblInd w:w="-6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"/>
        <w:gridCol w:w="2872"/>
        <w:gridCol w:w="5487"/>
      </w:tblGrid>
      <w:tr w:rsidR="002C3387" w:rsidRPr="002C3387" w:rsidTr="000868B3">
        <w:trPr>
          <w:trHeight w:val="327"/>
        </w:trPr>
        <w:tc>
          <w:tcPr>
            <w:tcW w:w="491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код классификатора</w:t>
            </w:r>
          </w:p>
        </w:tc>
        <w:tc>
          <w:tcPr>
            <w:tcW w:w="1549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2960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описание вида разрешённого использования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4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contextualSpacing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1.14</w:t>
            </w:r>
          </w:p>
        </w:tc>
        <w:tc>
          <w:tcPr>
            <w:tcW w:w="154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Научное обеспечение сельского хозяйства</w:t>
            </w:r>
          </w:p>
        </w:tc>
        <w:tc>
          <w:tcPr>
            <w:tcW w:w="296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4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contextualSpacing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3.10</w:t>
            </w:r>
          </w:p>
        </w:tc>
        <w:tc>
          <w:tcPr>
            <w:tcW w:w="154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Ветеринарное обслуживание</w:t>
            </w:r>
          </w:p>
        </w:tc>
        <w:tc>
          <w:tcPr>
            <w:tcW w:w="296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r:id="rId24" w:anchor="sub_103101" w:history="1">
              <w:r w:rsidRPr="002C338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кодами 3.10.1 - 3.10.2</w:t>
              </w:r>
            </w:hyperlink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4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6.9</w:t>
            </w:r>
          </w:p>
        </w:tc>
        <w:tc>
          <w:tcPr>
            <w:tcW w:w="154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Склады</w:t>
            </w:r>
          </w:p>
        </w:tc>
        <w:tc>
          <w:tcPr>
            <w:tcW w:w="296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</w:tbl>
    <w:p w:rsidR="002C3387" w:rsidRPr="002C3387" w:rsidRDefault="002C3387" w:rsidP="002C338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Helvetica Neue Light" w:hAnsi="Times New Roman" w:cs="Times New Roman"/>
          <w:b/>
          <w:sz w:val="24"/>
          <w:szCs w:val="24"/>
          <w:bdr w:val="nil"/>
          <w:lang w:eastAsia="ru-RU"/>
        </w:rPr>
      </w:pPr>
    </w:p>
    <w:p w:rsidR="002C3387" w:rsidRPr="002C3387" w:rsidRDefault="002C3387" w:rsidP="002C338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Helvetica Neue Light" w:hAnsi="Times New Roman" w:cs="Times New Roman"/>
          <w:sz w:val="24"/>
          <w:szCs w:val="24"/>
          <w:bdr w:val="nil"/>
          <w:lang w:eastAsia="ru-RU"/>
        </w:rPr>
      </w:pPr>
      <w:r w:rsidRPr="002C3387">
        <w:rPr>
          <w:rFonts w:ascii="Times New Roman" w:eastAsia="Helvetica Neue Light" w:hAnsi="Times New Roman" w:cs="Times New Roman"/>
          <w:b/>
          <w:sz w:val="24"/>
          <w:szCs w:val="24"/>
          <w:bdr w:val="nil"/>
          <w:lang w:eastAsia="ru-RU"/>
        </w:rPr>
        <w:t>Вспомогательные виды разрешенного использования земельных участков зоны СХ-2</w:t>
      </w:r>
    </w:p>
    <w:p w:rsidR="002C3387" w:rsidRPr="002C3387" w:rsidRDefault="002C3387" w:rsidP="002C338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Helvetica Neue Light" w:hAnsi="Times New Roman" w:cs="Times New Roman"/>
          <w:sz w:val="24"/>
          <w:szCs w:val="24"/>
          <w:bdr w:val="nil"/>
          <w:lang w:eastAsia="ru-RU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002"/>
        <w:gridCol w:w="3282"/>
        <w:gridCol w:w="5061"/>
      </w:tblGrid>
      <w:tr w:rsidR="002C3387" w:rsidRPr="002C3387" w:rsidTr="000868B3">
        <w:tc>
          <w:tcPr>
            <w:tcW w:w="10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  <w:hideMark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lastRenderedPageBreak/>
              <w:t xml:space="preserve">код </w:t>
            </w:r>
          </w:p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класс</w:t>
            </w:r>
          </w:p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ифика</w:t>
            </w:r>
          </w:p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тора</w:t>
            </w:r>
          </w:p>
        </w:tc>
        <w:tc>
          <w:tcPr>
            <w:tcW w:w="48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  <w:hideMark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8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  <w:hideMark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описание вида разрешённого использования</w:t>
            </w:r>
          </w:p>
        </w:tc>
      </w:tr>
      <w:tr w:rsidR="002C3387" w:rsidRPr="002C3387" w:rsidTr="000868B3">
        <w:tc>
          <w:tcPr>
            <w:tcW w:w="1485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C3387" w:rsidRPr="002C3387" w:rsidRDefault="002C3387" w:rsidP="002C3387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не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требуют установления.</w:t>
            </w:r>
          </w:p>
        </w:tc>
      </w:tr>
    </w:tbl>
    <w:p w:rsidR="002C3387" w:rsidRPr="002C3387" w:rsidRDefault="002C3387" w:rsidP="002C3387">
      <w:pPr>
        <w:spacing w:after="0" w:line="240" w:lineRule="auto"/>
        <w:rPr>
          <w:rFonts w:ascii="Times New Roman" w:eastAsia="Helvetica Neue Light" w:hAnsi="Times New Roman" w:cs="Times New Roman"/>
          <w:b/>
          <w:sz w:val="24"/>
          <w:szCs w:val="24"/>
          <w:bdr w:val="nil"/>
          <w:lang w:eastAsia="ru-RU"/>
        </w:rPr>
      </w:pPr>
    </w:p>
    <w:tbl>
      <w:tblPr>
        <w:tblW w:w="4936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9"/>
        <w:gridCol w:w="2844"/>
        <w:gridCol w:w="2756"/>
      </w:tblGrid>
      <w:tr w:rsidR="002C3387" w:rsidRPr="002C3387" w:rsidTr="000868B3">
        <w:trPr>
          <w:trHeight w:val="327"/>
        </w:trPr>
        <w:tc>
          <w:tcPr>
            <w:tcW w:w="3507" w:type="pct"/>
            <w:gridSpan w:val="2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  <w:t xml:space="preserve">Предельные (минимальные и (или) максимальные) размеры земельных участков и предельные параметры разрешённого строительства, реконструкции объектов </w:t>
            </w:r>
            <w:r w:rsidRPr="002C3387"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  <w:br/>
              <w:t>капитального строительства</w:t>
            </w:r>
          </w:p>
        </w:tc>
        <w:tc>
          <w:tcPr>
            <w:tcW w:w="1493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bdr w:val="nil"/>
                <w:lang w:eastAsia="ru-RU"/>
              </w:rPr>
              <w:t>Примечания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196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54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 xml:space="preserve"> подлежат установлению</w:t>
            </w:r>
          </w:p>
        </w:tc>
        <w:tc>
          <w:tcPr>
            <w:tcW w:w="149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196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54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1 м</w:t>
            </w:r>
          </w:p>
        </w:tc>
        <w:tc>
          <w:tcPr>
            <w:tcW w:w="149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196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Предельное количество надземных этажей</w:t>
            </w:r>
          </w:p>
        </w:tc>
        <w:tc>
          <w:tcPr>
            <w:tcW w:w="154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3 этажа</w:t>
            </w:r>
          </w:p>
        </w:tc>
        <w:tc>
          <w:tcPr>
            <w:tcW w:w="149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196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Предельная высота зданий</w:t>
            </w:r>
          </w:p>
        </w:tc>
        <w:tc>
          <w:tcPr>
            <w:tcW w:w="154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 xml:space="preserve"> более 10 м</w:t>
            </w:r>
          </w:p>
        </w:tc>
        <w:tc>
          <w:tcPr>
            <w:tcW w:w="149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947"/>
        </w:trPr>
        <w:tc>
          <w:tcPr>
            <w:tcW w:w="196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154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>не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pacing w:val="-4"/>
                <w:sz w:val="24"/>
                <w:szCs w:val="24"/>
                <w:bdr w:val="nil"/>
                <w:lang w:eastAsia="ru-RU"/>
              </w:rPr>
              <w:t xml:space="preserve"> подлежит установлению</w:t>
            </w:r>
          </w:p>
        </w:tc>
        <w:tc>
          <w:tcPr>
            <w:tcW w:w="149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4"/>
                <w:szCs w:val="24"/>
                <w:bdr w:val="nil"/>
                <w:lang w:eastAsia="ru-RU"/>
              </w:rPr>
            </w:pPr>
          </w:p>
        </w:tc>
      </w:tr>
    </w:tbl>
    <w:p w:rsidR="002C3387" w:rsidRPr="002C3387" w:rsidRDefault="002C3387" w:rsidP="002C338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1.2.Технические условия подключения объекта капитального строительства к сетям инженерно-технического обеспечения, срок действия технических условий, информация о плате за подключение для земельного участка с КН 26:04:020301:274:</w:t>
      </w:r>
    </w:p>
    <w:p w:rsidR="002C3387" w:rsidRPr="002C3387" w:rsidRDefault="002C3387" w:rsidP="002C338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Электроснабжение:</w:t>
      </w:r>
    </w:p>
    <w:p w:rsidR="002C3387" w:rsidRPr="002C3387" w:rsidRDefault="002C3387" w:rsidP="002C3387">
      <w:pPr>
        <w:tabs>
          <w:tab w:val="left" w:pos="567"/>
          <w:tab w:val="left" w:pos="3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условия подключения выданы филиалом ПАО «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Северный </w:t>
      </w:r>
      <w:proofErr w:type="gram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Кавказ»-</w:t>
      </w:r>
      <w:proofErr w:type="gram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«при Ставропольэнерго» - Новотроицкие электрические сети №МР8/СЭФ/.нэс.01/133 от 10.03.2023. Конкретные условия технологического присоединения объектов к сетям электроснабжения определяются подаче соответствующей заявки в вышеуказанную организацию. Плата за подключение к сетям электроснабжения определяется исходя из конкретных условий технологического присоединения.</w:t>
      </w:r>
    </w:p>
    <w:p w:rsidR="002C3387" w:rsidRPr="002C3387" w:rsidRDefault="002C3387" w:rsidP="002C3387">
      <w:p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ar-SA"/>
        </w:rPr>
        <w:t>Ответ филиала ПАО «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Россети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Северный </w:t>
      </w:r>
      <w:proofErr w:type="gramStart"/>
      <w:r w:rsidRPr="002C3387">
        <w:rPr>
          <w:rFonts w:ascii="Times New Roman" w:eastAsia="Times New Roman" w:hAnsi="Times New Roman" w:cs="Times New Roman"/>
          <w:sz w:val="28"/>
          <w:szCs w:val="28"/>
          <w:lang w:eastAsia="ar-SA"/>
        </w:rPr>
        <w:t>Кавказ»-</w:t>
      </w:r>
      <w:proofErr w:type="gramEnd"/>
      <w:r w:rsidRPr="002C3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«Ставропольэнерго» - Новотроицкие электрические сети по техническим условиям, размещен на официальном Интернет-портале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Новоалександровского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округа Ставропольского края </w:t>
      </w:r>
      <w:r w:rsidRPr="002C3387">
        <w:rPr>
          <w:rFonts w:ascii="Times New Roman" w:eastAsia="Arial Unicode MS" w:hAnsi="Times New Roman" w:cs="Times New Roman"/>
          <w:iCs/>
          <w:sz w:val="28"/>
          <w:szCs w:val="28"/>
          <w:lang w:eastAsia="ar-SA" w:bidi="ru-RU"/>
        </w:rPr>
        <w:t>(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ar-SA"/>
        </w:rPr>
        <w:t>www.newalexandrovsk.ru</w:t>
      </w:r>
      <w:r w:rsidRPr="002C3387">
        <w:rPr>
          <w:rFonts w:ascii="Times New Roman" w:eastAsia="Arial Unicode MS" w:hAnsi="Times New Roman" w:cs="Times New Roman"/>
          <w:iCs/>
          <w:sz w:val="28"/>
          <w:szCs w:val="28"/>
          <w:lang w:eastAsia="ar-SA" w:bidi="ru-RU"/>
        </w:rPr>
        <w:t>)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и официальном сайте Российской Федерации </w:t>
      </w:r>
      <w:hyperlink r:id="rId25" w:history="1">
        <w:r w:rsidRPr="002C3387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www.torgi.gov.ru</w:t>
        </w:r>
      </w:hyperlink>
      <w:r w:rsidRPr="002C3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качестве приложения к извещению.</w:t>
      </w:r>
    </w:p>
    <w:p w:rsidR="002C3387" w:rsidRPr="002C3387" w:rsidRDefault="002C3387" w:rsidP="002C338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1.3.Информация о фактическом состоянии земельного участка: доступ к земельному участку возможен по существующей дороге, расположенной на землях кадастрового квартала 26:04:020301</w:t>
      </w:r>
    </w:p>
    <w:p w:rsidR="002C3387" w:rsidRPr="002C3387" w:rsidRDefault="002C3387" w:rsidP="002C3387">
      <w:p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Осмотр земельного участка на местности производится заинтересованными лицами самостоятельно.   </w:t>
      </w:r>
    </w:p>
    <w:p w:rsidR="002C3387" w:rsidRPr="002C3387" w:rsidRDefault="002C3387" w:rsidP="002C338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387" w:rsidRPr="002C3387" w:rsidRDefault="002C3387" w:rsidP="002C338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ЛОТ№2 </w:t>
      </w:r>
    </w:p>
    <w:p w:rsidR="002C3387" w:rsidRPr="002C3387" w:rsidRDefault="002C3387" w:rsidP="002C338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заключения договора аренды земельного участка, государственная собственность на который не разграничена:</w:t>
      </w:r>
    </w:p>
    <w:p w:rsidR="002C3387" w:rsidRPr="002C3387" w:rsidRDefault="002C3387" w:rsidP="002C338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095"/>
        <w:gridCol w:w="2268"/>
      </w:tblGrid>
      <w:tr w:rsidR="002C3387" w:rsidRPr="002C3387" w:rsidTr="000868B3">
        <w:tc>
          <w:tcPr>
            <w:tcW w:w="993" w:type="dxa"/>
          </w:tcPr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лота</w:t>
            </w:r>
          </w:p>
        </w:tc>
        <w:tc>
          <w:tcPr>
            <w:tcW w:w="6095" w:type="dxa"/>
          </w:tcPr>
          <w:p w:rsidR="002C3387" w:rsidRPr="002C3387" w:rsidRDefault="002C3387" w:rsidP="002C3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земельного участка: </w:t>
            </w:r>
          </w:p>
          <w:p w:rsidR="002C3387" w:rsidRPr="002C3387" w:rsidRDefault="002C3387" w:rsidP="002C3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</w:t>
            </w:r>
            <w:proofErr w:type="gram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номер; категория земель; площадь; адрес; разрешенное использование; обременения </w:t>
            </w:r>
          </w:p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цена (размер ежегодной арендной платы); «шаг аукциона»; размер </w:t>
            </w:r>
            <w:proofErr w:type="gram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задатка  (</w:t>
            </w:r>
            <w:proofErr w:type="gram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рублей); </w:t>
            </w:r>
          </w:p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  <w:proofErr w:type="gram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аренды</w:t>
            </w:r>
          </w:p>
        </w:tc>
      </w:tr>
      <w:tr w:rsidR="002C3387" w:rsidRPr="002C3387" w:rsidTr="000868B3">
        <w:tc>
          <w:tcPr>
            <w:tcW w:w="993" w:type="dxa"/>
          </w:tcPr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</w:tcPr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C3387" w:rsidRPr="002C3387" w:rsidTr="000868B3">
        <w:tc>
          <w:tcPr>
            <w:tcW w:w="993" w:type="dxa"/>
          </w:tcPr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</w:tcPr>
          <w:p w:rsidR="002C3387" w:rsidRPr="002C3387" w:rsidRDefault="002C3387" w:rsidP="002C338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26:04: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020412:412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, земли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населенных пунктов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, 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330 </w:t>
            </w:r>
            <w:proofErr w:type="spell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кв.метров</w:t>
            </w:r>
            <w:proofErr w:type="spell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, Ставропольский край, 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р-н </w:t>
            </w:r>
            <w:proofErr w:type="spell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Новоалександровский</w:t>
            </w:r>
            <w:proofErr w:type="spell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</w:t>
            </w:r>
            <w:proofErr w:type="spell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ст-ца</w:t>
            </w:r>
            <w:proofErr w:type="spell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Расшеватская</w:t>
            </w:r>
            <w:proofErr w:type="spell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</w:t>
            </w:r>
            <w:proofErr w:type="spell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ул.Ленина</w:t>
            </w:r>
            <w:proofErr w:type="spell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, б/н;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магазины.</w:t>
            </w:r>
          </w:p>
          <w:p w:rsidR="002C3387" w:rsidRPr="002C3387" w:rsidRDefault="002C3387" w:rsidP="002C338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Земельный участок полностью </w:t>
            </w:r>
            <w:proofErr w:type="gram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расположен  в</w:t>
            </w:r>
            <w:proofErr w:type="gram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границах зоны с реестровым номером 26:04:-6.359 от 15.12.2018г.. Вид/наименование: </w:t>
            </w:r>
            <w:proofErr w:type="spell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Водоохранная</w:t>
            </w:r>
            <w:proofErr w:type="spell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зона реки </w:t>
            </w:r>
            <w:proofErr w:type="spell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Расшеватка</w:t>
            </w:r>
            <w:proofErr w:type="spell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тип: </w:t>
            </w:r>
            <w:proofErr w:type="spell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Водоохранная</w:t>
            </w:r>
            <w:proofErr w:type="spell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зона, номер: -, решения:1. Дата </w:t>
            </w:r>
            <w:proofErr w:type="gram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решения:03.06.2006</w:t>
            </w:r>
            <w:proofErr w:type="gram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номер решения:74, наименование ОГВ/ОМСУ:-2. дата решения:10.12.2018, номер </w:t>
            </w:r>
            <w:proofErr w:type="spell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решения:б</w:t>
            </w:r>
            <w:proofErr w:type="spell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/н, наименование ОГВ/ОМСУ:-3. дата решения:15.01.2018, номер решения:5, наименование ОГВ/</w:t>
            </w:r>
            <w:proofErr w:type="spell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ОМСУ:Министерство</w:t>
            </w:r>
            <w:proofErr w:type="spell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природных ресурсов и охраны окружающей среды Ставропольского края. </w:t>
            </w:r>
          </w:p>
          <w:p w:rsidR="002C3387" w:rsidRPr="002C3387" w:rsidRDefault="002C3387" w:rsidP="002C338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ограничения(обременения) ограничения прав на земельный участок, предусмотренные статьями 56,56.1 Земельного кодекса Российской Федерации; срок действия: с 05.02.2021; реквизиты документа-основания: водный кодекс от 03.06.2006№74 выдан:-карта (план) объекта землеустройства от 10.12.2018 №б/</w:t>
            </w:r>
            <w:proofErr w:type="spell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нвыдан</w:t>
            </w:r>
            <w:proofErr w:type="spell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:-;приказ от 15.01.2018 №5 выдан: Министерство природных ресурсов и охраны окружающей среды Ставропольского края. вид  ограничения (обременения): ограничения прав на земельный участок, предусмотренные статьями 56, 56.1 Земельного кодекса Российской Федерации; срок действия: с 05.02.2021; реквизиты документа-основания: </w:t>
            </w:r>
            <w:proofErr w:type="spellStart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xML</w:t>
            </w:r>
            <w:proofErr w:type="spellEnd"/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-архив от 06.12.2020 №б/н; иной документ от 04.12.2020 №01/041220; доверенность от 04.03.2020 </w:t>
            </w: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 xml:space="preserve">№26АА4084420; постановление от 24.02.2009 №160; документ, содержащий необходимые для внесения в государственный кадастр недвижимости сведения об установлении или изменении территориальной зоны или зоны с особыми условиями использования территорий, либо об отмене установления такой зоны от 08.12.2020 №б/н.   </w:t>
            </w:r>
          </w:p>
          <w:p w:rsidR="002C3387" w:rsidRPr="002C3387" w:rsidRDefault="002C3387" w:rsidP="002C338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Обременения правами третьих лиц: нет.</w:t>
            </w:r>
          </w:p>
          <w:p w:rsidR="002C3387" w:rsidRPr="002C3387" w:rsidRDefault="002C3387" w:rsidP="002C338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AD47"/>
                <w:sz w:val="24"/>
                <w:szCs w:val="24"/>
                <w:lang w:eastAsia="x-none"/>
              </w:rPr>
            </w:pPr>
          </w:p>
        </w:tc>
        <w:tc>
          <w:tcPr>
            <w:tcW w:w="2268" w:type="dxa"/>
          </w:tcPr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6007,39</w:t>
            </w:r>
          </w:p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180,22</w:t>
            </w:r>
          </w:p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6007,39</w:t>
            </w:r>
          </w:p>
          <w:p w:rsidR="002C3387" w:rsidRPr="002C3387" w:rsidRDefault="002C3387" w:rsidP="002C338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месяцев</w:t>
            </w:r>
          </w:p>
        </w:tc>
      </w:tr>
    </w:tbl>
    <w:p w:rsidR="002C3387" w:rsidRPr="002C3387" w:rsidRDefault="002C3387" w:rsidP="002C338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1.1.Земельный участок с кадастровым номером 26:04:020412:412, земли населенных пунктов, 330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кв.метров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Ставропольский край, р-н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Новоалександровский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Расшеватская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б/н; предоставляется в аренду с разрешенным использованием: магазины (4.4). Земельный участок входит в состав зоны ОД-1 Зона делового назначения, для которой </w:t>
      </w:r>
      <w:r w:rsidRPr="002C3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Правилами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землепользования и застройки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 утвержденными постановлением администрации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от 18.08.2021 №1122 «Об утверждении правил землепользования и застройки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края» определены следующие виды разрешенного использования и установлены параметры использования земельных участков и объектов капитального строительства:</w:t>
      </w:r>
    </w:p>
    <w:p w:rsidR="002C3387" w:rsidRPr="002C3387" w:rsidRDefault="002C3387" w:rsidP="002C3387">
      <w:pPr>
        <w:widowControl w:val="0"/>
        <w:spacing w:after="0" w:line="240" w:lineRule="auto"/>
        <w:contextualSpacing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 w:rsidRPr="002C3387">
        <w:rPr>
          <w:rFonts w:ascii="Times New Roman" w:eastAsia="Cambria" w:hAnsi="Times New Roman" w:cs="Times New Roman"/>
          <w:b/>
          <w:sz w:val="28"/>
          <w:szCs w:val="28"/>
        </w:rPr>
        <w:t>Основные виды разрешённого использования земельных участков зоны ОД-1</w:t>
      </w:r>
    </w:p>
    <w:p w:rsidR="002C3387" w:rsidRPr="002C3387" w:rsidRDefault="002C3387" w:rsidP="002C3387">
      <w:pPr>
        <w:widowControl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0"/>
          <w:szCs w:val="20"/>
        </w:rPr>
      </w:pPr>
    </w:p>
    <w:tbl>
      <w:tblPr>
        <w:tblW w:w="4976" w:type="pct"/>
        <w:tblInd w:w="-12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5"/>
        <w:gridCol w:w="3016"/>
        <w:gridCol w:w="4953"/>
      </w:tblGrid>
      <w:tr w:rsidR="002C3387" w:rsidRPr="002C3387" w:rsidTr="000868B3">
        <w:trPr>
          <w:trHeight w:val="327"/>
        </w:trPr>
        <w:tc>
          <w:tcPr>
            <w:tcW w:w="717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mallCaps/>
                <w:sz w:val="20"/>
                <w:szCs w:val="20"/>
                <w:bdr w:val="nil"/>
                <w:lang w:eastAsia="ru-RU"/>
              </w:rPr>
              <w:t>код классификатора</w:t>
            </w:r>
          </w:p>
        </w:tc>
        <w:tc>
          <w:tcPr>
            <w:tcW w:w="1621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mallCaps/>
                <w:sz w:val="20"/>
                <w:szCs w:val="20"/>
                <w:bdr w:val="nil"/>
                <w:lang w:eastAsia="ru-RU"/>
              </w:rPr>
              <w:t xml:space="preserve">наименование вида разрешённого </w:t>
            </w:r>
          </w:p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mallCaps/>
                <w:sz w:val="20"/>
                <w:szCs w:val="20"/>
                <w:bdr w:val="nil"/>
                <w:lang w:eastAsia="ru-RU"/>
              </w:rPr>
              <w:t>использования</w:t>
            </w:r>
          </w:p>
        </w:tc>
        <w:tc>
          <w:tcPr>
            <w:tcW w:w="2661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mallCaps/>
                <w:sz w:val="20"/>
                <w:szCs w:val="20"/>
                <w:bdr w:val="nil"/>
                <w:lang w:eastAsia="ru-RU"/>
              </w:rPr>
              <w:t>описание вида разрешённого использования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1461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3.1.1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Предоставление коммунальных услуг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</w:pPr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956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3.1.2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2C3387" w:rsidRPr="002C3387" w:rsidTr="000868B3">
        <w:tblPrEx>
          <w:shd w:val="clear" w:color="auto" w:fill="auto"/>
        </w:tblPrEx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3.2.2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Оказание социальной помощи населению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некоммерческих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фондов, благотворительных организаций, клубов по интересам</w:t>
            </w:r>
          </w:p>
        </w:tc>
      </w:tr>
      <w:tr w:rsidR="002C3387" w:rsidRPr="002C3387" w:rsidTr="000868B3">
        <w:tblPrEx>
          <w:shd w:val="clear" w:color="auto" w:fill="auto"/>
        </w:tblPrEx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3.2.3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Оказание услуг связи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</w:rPr>
              <w:t xml:space="preserve">Размещение зданий, предназначенных для размещения пунктов оказания услуг почтовой, телеграфной, 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</w:rPr>
              <w:lastRenderedPageBreak/>
              <w:t>междугородней и международной телефонной связи</w:t>
            </w:r>
          </w:p>
        </w:tc>
      </w:tr>
      <w:tr w:rsidR="002C3387" w:rsidRPr="002C3387" w:rsidTr="000868B3">
        <w:tblPrEx>
          <w:shd w:val="clear" w:color="auto" w:fill="auto"/>
        </w:tblPrEx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lastRenderedPageBreak/>
              <w:t>3.3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Бытовое обслуживание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3.6.1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Объекты культурно-досуговой деятельности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3.6.3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Цирки и зверинцы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</w:tr>
      <w:tr w:rsidR="002C3387" w:rsidRPr="002C3387" w:rsidTr="000868B3">
        <w:tblPrEx>
          <w:shd w:val="clear" w:color="auto" w:fill="auto"/>
        </w:tblPrEx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3.8.1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Государственное управление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870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3.8.2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Представительская деятельность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428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3.10.1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Амбулаторное ветеринарное обслуживание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2C3387" w:rsidRPr="002C3387" w:rsidTr="000868B3">
        <w:tblPrEx>
          <w:shd w:val="clear" w:color="auto" w:fill="auto"/>
        </w:tblPrEx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4.1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Деловое управление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2C3387" w:rsidRPr="002C3387" w:rsidTr="000868B3">
        <w:tblPrEx>
          <w:shd w:val="clear" w:color="auto" w:fill="auto"/>
        </w:tblPrEx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4.2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sub_1045" w:history="1">
              <w:r w:rsidRPr="002C3387">
                <w:rPr>
                  <w:rFonts w:ascii="Times New Roman" w:eastAsia="Helvetica Neue Light" w:hAnsi="Times New Roman" w:cs="Arial"/>
                  <w:sz w:val="20"/>
                  <w:szCs w:val="20"/>
                  <w:bdr w:val="nil"/>
                  <w:lang w:eastAsia="ru-RU"/>
                </w:rPr>
                <w:t>кодами 4.5-4.8.2</w:t>
              </w:r>
            </w:hyperlink>
            <w:r w:rsidRPr="002C3387">
              <w:rPr>
                <w:rFonts w:ascii="Arial" w:eastAsia="Arial Unicode MS" w:hAnsi="Arial" w:cs="Arial"/>
                <w:sz w:val="20"/>
                <w:szCs w:val="20"/>
                <w:bdr w:val="nil"/>
                <w:lang w:eastAsia="ru-RU"/>
              </w:rPr>
              <w:t xml:space="preserve"> </w:t>
            </w:r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>классификатора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;</w:t>
            </w:r>
          </w:p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размещение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гаражей и (или) стоянок для автомобилей сотрудников и посетителей торгового центра</w:t>
            </w:r>
          </w:p>
        </w:tc>
      </w:tr>
      <w:tr w:rsidR="002C3387" w:rsidRPr="002C3387" w:rsidTr="000868B3">
        <w:tblPrEx>
          <w:shd w:val="clear" w:color="auto" w:fill="auto"/>
        </w:tblPrEx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4.3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Рынки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размещение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гаражей и (или) стоянок для автомобилей сотрудников и посетителей рынка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542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4.4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Магазины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536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4.5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Банковская и страховая деятельность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530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4.6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Общественное питание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708"/>
        </w:trPr>
        <w:tc>
          <w:tcPr>
            <w:tcW w:w="717" w:type="pct"/>
            <w:tcBorders>
              <w:bottom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lastRenderedPageBreak/>
              <w:t>4.7</w:t>
            </w:r>
          </w:p>
        </w:tc>
        <w:tc>
          <w:tcPr>
            <w:tcW w:w="1621" w:type="pct"/>
            <w:tcBorders>
              <w:bottom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Гостиничное обслуживание</w:t>
            </w:r>
          </w:p>
        </w:tc>
        <w:tc>
          <w:tcPr>
            <w:tcW w:w="2661" w:type="pct"/>
            <w:tcBorders>
              <w:bottom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Размещение гостиниц, а также иных зданий, используемых с целью извлечения предпринимательской выгоды от предоставления жилого помещения для временного проживания в них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1461"/>
        </w:trPr>
        <w:tc>
          <w:tcPr>
            <w:tcW w:w="717" w:type="pct"/>
            <w:tcBorders>
              <w:top w:val="single" w:sz="6" w:space="0" w:color="808080"/>
              <w:bottom w:val="single" w:sz="4" w:space="0" w:color="auto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4.8.1</w:t>
            </w:r>
          </w:p>
        </w:tc>
        <w:tc>
          <w:tcPr>
            <w:tcW w:w="1621" w:type="pct"/>
            <w:tcBorders>
              <w:top w:val="single" w:sz="6" w:space="0" w:color="808080"/>
              <w:bottom w:val="single" w:sz="4" w:space="0" w:color="auto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Развлекательные мероприятия</w:t>
            </w:r>
          </w:p>
        </w:tc>
        <w:tc>
          <w:tcPr>
            <w:tcW w:w="2661" w:type="pct"/>
            <w:tcBorders>
              <w:top w:val="single" w:sz="6" w:space="0" w:color="808080"/>
              <w:bottom w:val="single" w:sz="4" w:space="0" w:color="auto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700"/>
        </w:trPr>
        <w:tc>
          <w:tcPr>
            <w:tcW w:w="717" w:type="pc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4.8.2</w:t>
            </w:r>
          </w:p>
        </w:tc>
        <w:tc>
          <w:tcPr>
            <w:tcW w:w="162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Проведение азартных игр</w:t>
            </w:r>
          </w:p>
        </w:tc>
        <w:tc>
          <w:tcPr>
            <w:tcW w:w="266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Размещение зданий и сооружений, предназначенных для размещения букмекерских контор, тотализаторов, их пунктов приема ставок вне игорных зон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700"/>
        </w:trPr>
        <w:tc>
          <w:tcPr>
            <w:tcW w:w="717" w:type="pc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4.8.3</w:t>
            </w:r>
          </w:p>
        </w:tc>
        <w:tc>
          <w:tcPr>
            <w:tcW w:w="162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Проведение азартных игр в игорных зонах</w:t>
            </w:r>
          </w:p>
        </w:tc>
        <w:tc>
          <w:tcPr>
            <w:tcW w:w="266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Размещение зданий и сооружений в игорных зонах, где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700"/>
        </w:trPr>
        <w:tc>
          <w:tcPr>
            <w:tcW w:w="717" w:type="pc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4.9</w:t>
            </w:r>
          </w:p>
        </w:tc>
        <w:tc>
          <w:tcPr>
            <w:tcW w:w="162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Служебные гаражи</w:t>
            </w:r>
          </w:p>
        </w:tc>
        <w:tc>
          <w:tcPr>
            <w:tcW w:w="266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ar190" w:tooltip="3.0" w:history="1">
              <w:r w:rsidRPr="002C3387">
                <w:rPr>
                  <w:rFonts w:ascii="Times New Roman" w:eastAsia="Helvetica Neue Light" w:hAnsi="Times New Roman" w:cs="Times New Roman"/>
                  <w:sz w:val="20"/>
                  <w:szCs w:val="20"/>
                  <w:bdr w:val="nil"/>
                  <w:lang w:eastAsia="ru-RU"/>
                </w:rPr>
                <w:t>кодами 3.0</w:t>
              </w:r>
            </w:hyperlink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, </w:t>
            </w:r>
            <w:hyperlink w:anchor="Par333" w:tooltip="4.0" w:history="1">
              <w:r w:rsidRPr="002C3387">
                <w:rPr>
                  <w:rFonts w:ascii="Times New Roman" w:eastAsia="Helvetica Neue Light" w:hAnsi="Times New Roman" w:cs="Times New Roman"/>
                  <w:sz w:val="20"/>
                  <w:szCs w:val="20"/>
                  <w:bdr w:val="nil"/>
                  <w:lang w:eastAsia="ru-RU"/>
                </w:rPr>
                <w:t>4.0</w:t>
              </w:r>
            </w:hyperlink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269"/>
        </w:trPr>
        <w:tc>
          <w:tcPr>
            <w:tcW w:w="717" w:type="pc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5.1.1</w:t>
            </w:r>
          </w:p>
        </w:tc>
        <w:tc>
          <w:tcPr>
            <w:tcW w:w="162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Обеспечение спортивно-зрелищных мероприятий</w:t>
            </w:r>
          </w:p>
        </w:tc>
        <w:tc>
          <w:tcPr>
            <w:tcW w:w="266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557"/>
        </w:trPr>
        <w:tc>
          <w:tcPr>
            <w:tcW w:w="717" w:type="pc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5.1.2</w:t>
            </w:r>
          </w:p>
        </w:tc>
        <w:tc>
          <w:tcPr>
            <w:tcW w:w="162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Обеспечение занятий спортом в помещениях</w:t>
            </w:r>
          </w:p>
        </w:tc>
        <w:tc>
          <w:tcPr>
            <w:tcW w:w="266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211"/>
        </w:trPr>
        <w:tc>
          <w:tcPr>
            <w:tcW w:w="717" w:type="pc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8.3</w:t>
            </w:r>
          </w:p>
        </w:tc>
        <w:tc>
          <w:tcPr>
            <w:tcW w:w="162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Обеспечение внутреннего правопорядка</w:t>
            </w:r>
          </w:p>
        </w:tc>
        <w:tc>
          <w:tcPr>
            <w:tcW w:w="266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>Росгвардии</w:t>
            </w:r>
            <w:proofErr w:type="spellEnd"/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 xml:space="preserve"> и спасательных служб, в которых существует военизированная служба;</w:t>
            </w:r>
          </w:p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>размещение</w:t>
            </w:r>
            <w:proofErr w:type="gramEnd"/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 xml:space="preserve">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211"/>
        </w:trPr>
        <w:tc>
          <w:tcPr>
            <w:tcW w:w="717" w:type="pct"/>
            <w:tcBorders>
              <w:top w:val="single" w:sz="6" w:space="0" w:color="808080"/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12.0.1</w:t>
            </w:r>
          </w:p>
        </w:tc>
        <w:tc>
          <w:tcPr>
            <w:tcW w:w="162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Улично-дорожная сеть</w:t>
            </w:r>
          </w:p>
        </w:tc>
        <w:tc>
          <w:tcPr>
            <w:tcW w:w="266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>велотранспортной</w:t>
            </w:r>
            <w:proofErr w:type="spellEnd"/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 xml:space="preserve"> и инженерной инфраструктуры;</w:t>
            </w:r>
          </w:p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>размещение</w:t>
            </w:r>
            <w:proofErr w:type="gramEnd"/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 xml:space="preserve">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ar186" w:tooltip="2.7.1" w:history="1">
              <w:r w:rsidRPr="002C3387">
                <w:rPr>
                  <w:rFonts w:ascii="Times New Roman" w:eastAsia="Arial Unicode MS" w:hAnsi="Times New Roman" w:cs="Times New Roman"/>
                  <w:sz w:val="20"/>
                  <w:szCs w:val="20"/>
                  <w:bdr w:val="nil"/>
                  <w:lang w:eastAsia="ru-RU"/>
                </w:rPr>
                <w:t>кодами 2.7.1</w:t>
              </w:r>
            </w:hyperlink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 xml:space="preserve">, </w:t>
            </w:r>
            <w:hyperlink w:anchor="Par382" w:tooltip="4.9" w:history="1">
              <w:r w:rsidRPr="002C3387">
                <w:rPr>
                  <w:rFonts w:ascii="Times New Roman" w:eastAsia="Arial Unicode MS" w:hAnsi="Times New Roman" w:cs="Times New Roman"/>
                  <w:sz w:val="20"/>
                  <w:szCs w:val="20"/>
                  <w:bdr w:val="nil"/>
                  <w:lang w:eastAsia="ru-RU"/>
                </w:rPr>
                <w:t>4.9</w:t>
              </w:r>
            </w:hyperlink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 xml:space="preserve">, </w:t>
            </w:r>
            <w:hyperlink w:anchor="Par567" w:tooltip="7.2.3" w:history="1">
              <w:r w:rsidRPr="002C3387">
                <w:rPr>
                  <w:rFonts w:ascii="Times New Roman" w:eastAsia="Arial Unicode MS" w:hAnsi="Times New Roman" w:cs="Times New Roman"/>
                  <w:sz w:val="20"/>
                  <w:szCs w:val="20"/>
                  <w:bdr w:val="nil"/>
                  <w:lang w:eastAsia="ru-RU"/>
                </w:rPr>
                <w:t>7.2.3</w:t>
              </w:r>
            </w:hyperlink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>, а также некапитальных сооружений, предназначенных для охраны транспортных средств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211"/>
        </w:trPr>
        <w:tc>
          <w:tcPr>
            <w:tcW w:w="717" w:type="pc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12.0.2</w:t>
            </w:r>
          </w:p>
        </w:tc>
        <w:tc>
          <w:tcPr>
            <w:tcW w:w="162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Благоустройство территории</w:t>
            </w:r>
          </w:p>
        </w:tc>
        <w:tc>
          <w:tcPr>
            <w:tcW w:w="266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:rsidR="002C3387" w:rsidRPr="002C3387" w:rsidRDefault="002C3387" w:rsidP="002C3387">
      <w:pPr>
        <w:widowControl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0"/>
          <w:szCs w:val="20"/>
        </w:rPr>
      </w:pPr>
    </w:p>
    <w:p w:rsidR="002C3387" w:rsidRPr="002C3387" w:rsidRDefault="002C3387" w:rsidP="002C3387">
      <w:pPr>
        <w:widowControl w:val="0"/>
        <w:spacing w:after="0" w:line="240" w:lineRule="auto"/>
        <w:contextualSpacing/>
        <w:jc w:val="center"/>
        <w:rPr>
          <w:rFonts w:ascii="Times New Roman" w:eastAsia="Cambria" w:hAnsi="Times New Roman" w:cs="Times New Roman"/>
          <w:b/>
          <w:sz w:val="20"/>
          <w:szCs w:val="20"/>
        </w:rPr>
      </w:pPr>
      <w:r w:rsidRPr="002C3387">
        <w:rPr>
          <w:rFonts w:ascii="Times New Roman" w:eastAsia="Cambria" w:hAnsi="Times New Roman" w:cs="Times New Roman"/>
          <w:b/>
          <w:sz w:val="20"/>
          <w:szCs w:val="20"/>
        </w:rPr>
        <w:t>Условно-разрешённые виды разрешённого использования земельных участков зоны ОД-1</w:t>
      </w:r>
    </w:p>
    <w:p w:rsidR="002C3387" w:rsidRPr="002C3387" w:rsidRDefault="002C3387" w:rsidP="002C3387">
      <w:pPr>
        <w:widowControl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0"/>
          <w:szCs w:val="20"/>
        </w:rPr>
      </w:pPr>
    </w:p>
    <w:tbl>
      <w:tblPr>
        <w:tblW w:w="4976" w:type="pct"/>
        <w:tblInd w:w="-12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4"/>
        <w:gridCol w:w="3169"/>
        <w:gridCol w:w="4801"/>
      </w:tblGrid>
      <w:tr w:rsidR="002C3387" w:rsidRPr="002C3387" w:rsidTr="000868B3">
        <w:trPr>
          <w:trHeight w:val="327"/>
        </w:trPr>
        <w:tc>
          <w:tcPr>
            <w:tcW w:w="717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mallCaps/>
                <w:sz w:val="20"/>
                <w:szCs w:val="20"/>
                <w:bdr w:val="nil"/>
                <w:lang w:eastAsia="ru-RU"/>
              </w:rPr>
              <w:t>код классификатора</w:t>
            </w:r>
          </w:p>
        </w:tc>
        <w:tc>
          <w:tcPr>
            <w:tcW w:w="1703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mallCaps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mallCaps/>
                <w:sz w:val="20"/>
                <w:szCs w:val="20"/>
                <w:bdr w:val="nil"/>
                <w:lang w:eastAsia="ru-RU"/>
              </w:rPr>
              <w:t xml:space="preserve">наименование вида разрешённого </w:t>
            </w:r>
          </w:p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mallCaps/>
                <w:sz w:val="20"/>
                <w:szCs w:val="20"/>
                <w:bdr w:val="nil"/>
                <w:lang w:eastAsia="ru-RU"/>
              </w:rPr>
              <w:t>использования</w:t>
            </w:r>
          </w:p>
        </w:tc>
        <w:tc>
          <w:tcPr>
            <w:tcW w:w="2580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mallCaps/>
                <w:sz w:val="20"/>
                <w:szCs w:val="20"/>
                <w:bdr w:val="nil"/>
                <w:lang w:eastAsia="ru-RU"/>
              </w:rPr>
              <w:t>описание вида разрешённого использования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</w:pPr>
            <w:r w:rsidRPr="002C3387"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  <w:t>2.5</w:t>
            </w:r>
          </w:p>
        </w:tc>
        <w:tc>
          <w:tcPr>
            <w:tcW w:w="170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</w:pPr>
            <w:proofErr w:type="spellStart"/>
            <w:r w:rsidRPr="002C3387"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  <w:t>Среднеэтажная</w:t>
            </w:r>
            <w:proofErr w:type="spellEnd"/>
            <w:r w:rsidRPr="002C3387"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  <w:t xml:space="preserve"> жилая застройка</w:t>
            </w:r>
          </w:p>
        </w:tc>
        <w:tc>
          <w:tcPr>
            <w:tcW w:w="25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</w:pPr>
            <w:r w:rsidRPr="002C3387"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  <w:t>Размещение многоквартирных домов этажностью не выше восьми этажей;</w:t>
            </w:r>
          </w:p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</w:pPr>
            <w:proofErr w:type="gramStart"/>
            <w:r w:rsidRPr="002C3387"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  <w:t>благоустройство</w:t>
            </w:r>
            <w:proofErr w:type="gramEnd"/>
            <w:r w:rsidRPr="002C3387"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  <w:t xml:space="preserve"> и озеленение;</w:t>
            </w:r>
          </w:p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</w:pPr>
            <w:proofErr w:type="gramStart"/>
            <w:r w:rsidRPr="002C3387"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  <w:t>размещение</w:t>
            </w:r>
            <w:proofErr w:type="gramEnd"/>
            <w:r w:rsidRPr="002C3387"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  <w:t xml:space="preserve"> подземных гаражей и автостоянок;</w:t>
            </w:r>
          </w:p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</w:pPr>
            <w:proofErr w:type="gramStart"/>
            <w:r w:rsidRPr="002C3387"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  <w:t>обустройство</w:t>
            </w:r>
            <w:proofErr w:type="gramEnd"/>
            <w:r w:rsidRPr="002C3387"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  <w:t xml:space="preserve"> спортивных и детских площадок, площадок для отдыха;</w:t>
            </w:r>
          </w:p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</w:pPr>
            <w:proofErr w:type="gramStart"/>
            <w:r w:rsidRPr="002C3387"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  <w:t>размещение</w:t>
            </w:r>
            <w:proofErr w:type="gramEnd"/>
            <w:r w:rsidRPr="002C3387">
              <w:rPr>
                <w:rFonts w:ascii="Times New Roman" w:eastAsia="Cambria" w:hAnsi="Times New Roman" w:cs="Times New Roman"/>
                <w:sz w:val="20"/>
                <w:szCs w:val="20"/>
                <w:bdr w:val="nil"/>
              </w:rPr>
              <w:t xml:space="preserve">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2.7.1</w:t>
            </w:r>
          </w:p>
        </w:tc>
        <w:tc>
          <w:tcPr>
            <w:tcW w:w="170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color w:val="000000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Хранение автотранспорта</w:t>
            </w:r>
          </w:p>
        </w:tc>
        <w:tc>
          <w:tcPr>
            <w:tcW w:w="25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3.10.2</w:t>
            </w:r>
          </w:p>
        </w:tc>
        <w:tc>
          <w:tcPr>
            <w:tcW w:w="170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Приюты для животных</w:t>
            </w:r>
          </w:p>
        </w:tc>
        <w:tc>
          <w:tcPr>
            <w:tcW w:w="25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>размещение</w:t>
            </w:r>
            <w:proofErr w:type="gramEnd"/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 xml:space="preserve">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>размещение</w:t>
            </w:r>
            <w:proofErr w:type="gramEnd"/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 xml:space="preserve"> объектов капитального строительства, предназначенных для организации гостиниц для животных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3.7.1</w:t>
            </w:r>
          </w:p>
        </w:tc>
        <w:tc>
          <w:tcPr>
            <w:tcW w:w="170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Осуществление религиозных обрядов</w:t>
            </w:r>
          </w:p>
        </w:tc>
        <w:tc>
          <w:tcPr>
            <w:tcW w:w="25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5.1.4</w:t>
            </w:r>
          </w:p>
        </w:tc>
        <w:tc>
          <w:tcPr>
            <w:tcW w:w="170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Оборудованные площадки для занятий спортом</w:t>
            </w:r>
          </w:p>
        </w:tc>
        <w:tc>
          <w:tcPr>
            <w:tcW w:w="25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5.2.1</w:t>
            </w:r>
          </w:p>
        </w:tc>
        <w:tc>
          <w:tcPr>
            <w:tcW w:w="170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Туристическое обслуживание</w:t>
            </w:r>
          </w:p>
        </w:tc>
        <w:tc>
          <w:tcPr>
            <w:tcW w:w="25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9.3</w:t>
            </w:r>
          </w:p>
        </w:tc>
        <w:tc>
          <w:tcPr>
            <w:tcW w:w="170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Историко-культурная деятельность</w:t>
            </w:r>
          </w:p>
        </w:tc>
        <w:tc>
          <w:tcPr>
            <w:tcW w:w="25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Сохранение и изучение объектов культурного наследия народов Российской Федерации (памятников истории и культуры), в том числе объектов археологического наследия, достопримечательных мест, мест бытования исторических промыслов, производств и ремёсел,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</w:tr>
    </w:tbl>
    <w:p w:rsidR="002C3387" w:rsidRPr="002C3387" w:rsidRDefault="002C3387" w:rsidP="002C338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Helvetica Neue Light" w:hAnsi="Times New Roman" w:cs="Helvetica Neue Light"/>
          <w:b/>
          <w:color w:val="000000"/>
          <w:sz w:val="20"/>
          <w:szCs w:val="20"/>
          <w:bdr w:val="nil"/>
          <w:lang w:eastAsia="ru-RU"/>
        </w:rPr>
      </w:pPr>
    </w:p>
    <w:p w:rsidR="002C3387" w:rsidRPr="002C3387" w:rsidRDefault="002C3387" w:rsidP="002C338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Helvetica Neue Light" w:hAnsi="Cambria" w:cs="Helvetica Neue Light"/>
          <w:sz w:val="20"/>
          <w:szCs w:val="20"/>
          <w:bdr w:val="nil"/>
          <w:lang w:eastAsia="ru-RU"/>
        </w:rPr>
      </w:pPr>
      <w:r w:rsidRPr="002C3387">
        <w:rPr>
          <w:rFonts w:ascii="Times New Roman" w:eastAsia="Helvetica Neue Light" w:hAnsi="Times New Roman" w:cs="Helvetica Neue Light"/>
          <w:b/>
          <w:color w:val="000000"/>
          <w:sz w:val="20"/>
          <w:szCs w:val="20"/>
          <w:bdr w:val="nil"/>
          <w:lang w:eastAsia="ru-RU"/>
        </w:rPr>
        <w:lastRenderedPageBreak/>
        <w:t>Вспомогательные виды разрешенного использования земельных участков зоны ОД-1</w:t>
      </w:r>
    </w:p>
    <w:p w:rsidR="002C3387" w:rsidRPr="002C3387" w:rsidRDefault="002C3387" w:rsidP="002C338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mbria" w:eastAsia="Helvetica Neue Light" w:hAnsi="Cambria" w:cs="Helvetica Neue Light"/>
          <w:sz w:val="20"/>
          <w:szCs w:val="20"/>
          <w:bdr w:val="nil"/>
          <w:lang w:eastAsia="ru-RU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41"/>
        <w:gridCol w:w="3236"/>
        <w:gridCol w:w="5168"/>
      </w:tblGrid>
      <w:tr w:rsidR="002C3387" w:rsidRPr="002C3387" w:rsidTr="000868B3">
        <w:tc>
          <w:tcPr>
            <w:tcW w:w="1066" w:type="dxa"/>
            <w:shd w:val="clear" w:color="auto" w:fill="D9D9D9"/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Helvetica Neue" w:hAnsi="Calibri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Calibri" w:eastAsia="Helvetica Neue" w:hAnsi="Calibri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 xml:space="preserve">код </w:t>
            </w:r>
          </w:p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Helvetica Neue" w:hAnsi="Calibri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Calibri" w:eastAsia="Helvetica Neue" w:hAnsi="Calibri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класс</w:t>
            </w:r>
          </w:p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Helvetica Neue" w:hAnsi="Calibri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Calibri" w:eastAsia="Helvetica Neue" w:hAnsi="Calibri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ифика</w:t>
            </w:r>
          </w:p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Helvetica Neue" w:hAnsi="Calibri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Calibri" w:eastAsia="Helvetica Neue" w:hAnsi="Calibri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тора</w:t>
            </w:r>
          </w:p>
        </w:tc>
        <w:tc>
          <w:tcPr>
            <w:tcW w:w="4884" w:type="dxa"/>
            <w:shd w:val="clear" w:color="auto" w:fill="D9D9D9"/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Helvetica Neue" w:hAnsi="Calibri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Calibri" w:eastAsia="Helvetica Neue" w:hAnsi="Calibri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8900" w:type="dxa"/>
            <w:shd w:val="clear" w:color="auto" w:fill="D9D9D9"/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Helvetica Neue" w:hAnsi="Calibri" w:cs="Times New Roman"/>
                <w:b/>
                <w:bCs/>
                <w:sz w:val="24"/>
                <w:szCs w:val="24"/>
                <w:bdr w:val="nil"/>
                <w:lang w:eastAsia="ru-RU"/>
              </w:rPr>
            </w:pPr>
            <w:r w:rsidRPr="002C3387">
              <w:rPr>
                <w:rFonts w:ascii="Calibri" w:eastAsia="Helvetica Neue" w:hAnsi="Calibri" w:cs="Times New Roman"/>
                <w:b/>
                <w:bCs/>
                <w:smallCaps/>
                <w:sz w:val="24"/>
                <w:szCs w:val="24"/>
                <w:bdr w:val="nil"/>
                <w:lang w:eastAsia="ru-RU"/>
              </w:rPr>
              <w:t>описание вида разрешённого использования</w:t>
            </w:r>
          </w:p>
        </w:tc>
      </w:tr>
      <w:tr w:rsidR="002C3387" w:rsidRPr="002C3387" w:rsidTr="000868B3">
        <w:tc>
          <w:tcPr>
            <w:tcW w:w="14850" w:type="dxa"/>
            <w:gridSpan w:val="3"/>
            <w:shd w:val="clear" w:color="auto" w:fill="auto"/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Helvetica Neue Light" w:hAnsi="Calibri" w:cs="Times New Roman"/>
                <w:sz w:val="24"/>
                <w:szCs w:val="24"/>
                <w:bdr w:val="nil"/>
                <w:lang w:eastAsia="ru-RU"/>
              </w:rPr>
            </w:pPr>
            <w:proofErr w:type="gramStart"/>
            <w:r w:rsidRPr="002C3387">
              <w:rPr>
                <w:rFonts w:ascii="Calibri" w:eastAsia="Helvetica Neue Light" w:hAnsi="Calibri" w:cs="Times New Roman"/>
                <w:sz w:val="24"/>
                <w:szCs w:val="24"/>
                <w:bdr w:val="nil"/>
                <w:lang w:eastAsia="ru-RU"/>
              </w:rPr>
              <w:t>не</w:t>
            </w:r>
            <w:proofErr w:type="gramEnd"/>
            <w:r w:rsidRPr="002C3387">
              <w:rPr>
                <w:rFonts w:ascii="Calibri" w:eastAsia="Helvetica Neue Light" w:hAnsi="Calibri" w:cs="Times New Roman"/>
                <w:sz w:val="24"/>
                <w:szCs w:val="24"/>
                <w:bdr w:val="nil"/>
                <w:lang w:eastAsia="ru-RU"/>
              </w:rPr>
              <w:t xml:space="preserve"> требуют установления.</w:t>
            </w:r>
          </w:p>
        </w:tc>
      </w:tr>
    </w:tbl>
    <w:p w:rsidR="002C3387" w:rsidRPr="002C3387" w:rsidRDefault="002C3387" w:rsidP="002C338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mbria" w:eastAsia="Helvetica Neue Light" w:hAnsi="Cambria" w:cs="Helvetica Neue Light"/>
          <w:b/>
          <w:sz w:val="20"/>
          <w:szCs w:val="20"/>
          <w:bdr w:val="nil"/>
          <w:lang w:eastAsia="ru-RU"/>
        </w:rPr>
      </w:pPr>
    </w:p>
    <w:tbl>
      <w:tblPr>
        <w:tblW w:w="4976" w:type="pct"/>
        <w:tblInd w:w="-12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5"/>
        <w:gridCol w:w="2849"/>
        <w:gridCol w:w="2780"/>
      </w:tblGrid>
      <w:tr w:rsidR="002C3387" w:rsidRPr="002C3387" w:rsidTr="000868B3">
        <w:trPr>
          <w:trHeight w:val="327"/>
        </w:trPr>
        <w:tc>
          <w:tcPr>
            <w:tcW w:w="3506" w:type="pct"/>
            <w:gridSpan w:val="2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z w:val="20"/>
                <w:szCs w:val="20"/>
                <w:bdr w:val="nil"/>
                <w:lang w:eastAsia="ru-RU"/>
              </w:rPr>
              <w:t xml:space="preserve">Предельные (минимальные и (или) максимальные) размеры земельных участков и предельные параметры разрешённого строительства, реконструкции объектов </w:t>
            </w:r>
            <w:r w:rsidRPr="002C3387">
              <w:rPr>
                <w:rFonts w:ascii="Times New Roman" w:eastAsia="Helvetica Neue" w:hAnsi="Times New Roman" w:cs="Times New Roman"/>
                <w:b/>
                <w:bCs/>
                <w:sz w:val="20"/>
                <w:szCs w:val="20"/>
                <w:bdr w:val="nil"/>
                <w:lang w:eastAsia="ru-RU"/>
              </w:rPr>
              <w:br/>
              <w:t>капитального строительства</w:t>
            </w:r>
          </w:p>
        </w:tc>
        <w:tc>
          <w:tcPr>
            <w:tcW w:w="1494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/>
                <w:bCs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/>
                <w:bCs/>
                <w:sz w:val="20"/>
                <w:szCs w:val="20"/>
                <w:bdr w:val="nil"/>
                <w:lang w:eastAsia="ru-RU"/>
              </w:rPr>
              <w:t>Примечания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не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подлежит установлению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1 м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418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Предельное количество надземных этажей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не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более 6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70%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* Объекты торговли (торговые центры, торгово-развлекательные центры (комплексы)</w:t>
            </w:r>
          </w:p>
        </w:tc>
        <w:tc>
          <w:tcPr>
            <w:tcW w:w="3025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Допускается строительство объектов капитального строительства общей площадью от 1000 м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  <w:t>2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141"/>
        </w:trPr>
        <w:tc>
          <w:tcPr>
            <w:tcW w:w="1975" w:type="pct"/>
            <w:tcBorders>
              <w:top w:val="single" w:sz="6" w:space="0" w:color="808080"/>
              <w:bottom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" w:hAnsi="Times New Roman" w:cs="Times New Roman"/>
                <w:bCs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Cs/>
                <w:sz w:val="20"/>
                <w:szCs w:val="20"/>
                <w:bdr w:val="nil"/>
                <w:lang w:eastAsia="ru-RU"/>
              </w:rPr>
              <w:t xml:space="preserve">Размеры земельного участка одноэтажного гаража на одно </w:t>
            </w:r>
            <w:proofErr w:type="spellStart"/>
            <w:r w:rsidRPr="002C3387">
              <w:rPr>
                <w:rFonts w:ascii="Times New Roman" w:eastAsia="Helvetica Neue" w:hAnsi="Times New Roman" w:cs="Times New Roman"/>
                <w:bCs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" w:hAnsi="Times New Roman" w:cs="Times New Roman"/>
                <w:bCs/>
                <w:sz w:val="20"/>
                <w:szCs w:val="20"/>
                <w:bdr w:val="nil"/>
                <w:lang w:eastAsia="ru-RU"/>
              </w:rPr>
              <w:t>-место</w:t>
            </w:r>
          </w:p>
        </w:tc>
        <w:tc>
          <w:tcPr>
            <w:tcW w:w="1531" w:type="pct"/>
            <w:tcBorders>
              <w:top w:val="single" w:sz="6" w:space="0" w:color="808080"/>
              <w:bottom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 w:cs="Times New Roman"/>
                <w:bCs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" w:hAnsi="Times New Roman" w:cs="Times New Roman"/>
                <w:bCs/>
                <w:sz w:val="20"/>
                <w:szCs w:val="20"/>
                <w:bdr w:val="nil"/>
                <w:lang w:eastAsia="ru-RU"/>
              </w:rPr>
              <w:t>не</w:t>
            </w:r>
            <w:proofErr w:type="gramEnd"/>
            <w:r w:rsidRPr="002C3387">
              <w:rPr>
                <w:rFonts w:ascii="Times New Roman" w:eastAsia="Helvetica Neue" w:hAnsi="Times New Roman" w:cs="Times New Roman"/>
                <w:bCs/>
                <w:sz w:val="20"/>
                <w:szCs w:val="20"/>
                <w:bdr w:val="nil"/>
                <w:lang w:eastAsia="ru-RU"/>
              </w:rPr>
              <w:t xml:space="preserve"> более 30 м</w:t>
            </w:r>
            <w:r w:rsidRPr="002C3387">
              <w:rPr>
                <w:rFonts w:ascii="Times New Roman" w:eastAsia="Helvetica Neue" w:hAnsi="Times New Roman" w:cs="Times New Roman"/>
                <w:bCs/>
                <w:sz w:val="20"/>
                <w:szCs w:val="20"/>
                <w:bdr w:val="nil"/>
                <w:vertAlign w:val="superscript"/>
                <w:lang w:eastAsia="ru-RU"/>
              </w:rPr>
              <w:t>2</w:t>
            </w:r>
          </w:p>
        </w:tc>
        <w:tc>
          <w:tcPr>
            <w:tcW w:w="1494" w:type="pct"/>
            <w:tcBorders>
              <w:top w:val="single" w:sz="6" w:space="0" w:color="808080"/>
              <w:bottom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Helvetica Neue" w:hAnsi="Times New Roman" w:cs="Times New Roman"/>
                <w:bCs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" w:hAnsi="Times New Roman" w:cs="Times New Roman"/>
                <w:bCs/>
                <w:sz w:val="20"/>
                <w:szCs w:val="20"/>
                <w:bdr w:val="nil"/>
                <w:lang w:eastAsia="ru-RU"/>
              </w:rPr>
              <w:t>п. 11.37 СП 42.13330.2016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Площадь рекламных конструкции, расположенных на фасаде зданий и сооружений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не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более 3% глухой поверхности фасада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0"/>
                <w:szCs w:val="20"/>
                <w:bdr w:val="nil"/>
                <w:lang w:eastAsia="ru-RU"/>
              </w:rPr>
              <w:t>Согласно рекомендации министерства строительства, архитектуры и жилищно-коммунального хозяйства Ставропольского края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Площадь рекламных конструкций, расположенных на фасадах зданий и сооружений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не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более 3% общей площади здания и сооружения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284"/>
        </w:trPr>
        <w:tc>
          <w:tcPr>
            <w:tcW w:w="5000" w:type="pct"/>
            <w:gridSpan w:val="3"/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b/>
                <w:sz w:val="20"/>
                <w:szCs w:val="20"/>
                <w:bdr w:val="nil"/>
                <w:lang w:eastAsia="ru-RU"/>
              </w:rPr>
              <w:t>Нормы парковки: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572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Учреждения органов государственной власти, органы местного самоуправления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200-220 м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  <w:t>2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общей площади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538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Административно-управленческие учреждения, иностранные представительства, представительства субъектов Российской Федерации, здания и помещения общественных организаций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100-120 м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  <w:t>2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общей площади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538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Коммерческо-деловые центры, офисные здания и помещения, страховые компании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50-60 м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  <w:t>2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общей площади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538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Банки и банковские учреждения, кредитно-финансовые учреждения: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381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lastRenderedPageBreak/>
              <w:t>с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операционными залами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30-35 м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  <w:t>2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общей площади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538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без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операционных залов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55-60 м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  <w:t>2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общей площади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738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Здания театрально-зрелищные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-место на 7 зрительских мест для объектов первого уровня комфорта; на 10 зрительских мест второго уровня комфорта и на 12 зрительских мест объектов третьего уровня комфорта. Для легковых автомобилей работников и служащих – одно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10 сотрудников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Calibri" w:hAnsi="Times New Roman" w:cs="Times New Roman"/>
                <w:sz w:val="20"/>
                <w:szCs w:val="20"/>
                <w:bdr w:val="nil"/>
                <w:lang w:eastAsia="ru-RU"/>
              </w:rPr>
              <w:t xml:space="preserve">В соответствии с п. 5.6. </w:t>
            </w:r>
            <w:hyperlink r:id="rId26" w:history="1">
              <w:r w:rsidRPr="002C3387">
                <w:rPr>
                  <w:rFonts w:ascii="Times New Roman" w:eastAsia="Calibri" w:hAnsi="Times New Roman" w:cs="Times New Roman"/>
                  <w:sz w:val="20"/>
                  <w:szCs w:val="20"/>
                  <w:bdr w:val="nil"/>
                  <w:lang w:eastAsia="ru-RU"/>
                </w:rPr>
                <w:t>СП 309.1325800</w:t>
              </w:r>
            </w:hyperlink>
            <w:r w:rsidRPr="002C3387">
              <w:rPr>
                <w:rFonts w:ascii="Times New Roman" w:eastAsia="Calibri" w:hAnsi="Times New Roman" w:cs="Times New Roman"/>
                <w:sz w:val="20"/>
                <w:szCs w:val="20"/>
                <w:bdr w:val="nil"/>
                <w:lang w:eastAsia="ru-RU"/>
              </w:rPr>
              <w:t xml:space="preserve">. При реконструкции требуемое число </w:t>
            </w:r>
            <w:proofErr w:type="spellStart"/>
            <w:r w:rsidRPr="002C3387">
              <w:rPr>
                <w:rFonts w:ascii="Times New Roman" w:eastAsia="Calibri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Calibri" w:hAnsi="Times New Roman" w:cs="Times New Roman"/>
                <w:sz w:val="20"/>
                <w:szCs w:val="20"/>
                <w:bdr w:val="nil"/>
                <w:lang w:eastAsia="ru-RU"/>
              </w:rPr>
              <w:t>-мест принимается по заданию на проектирование.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738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Выставочно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-музейные комплексы, музеи-заповедники, музеи, галереи, выставочные залы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6-8 единовременных посетителей</w:t>
            </w:r>
          </w:p>
        </w:tc>
        <w:tc>
          <w:tcPr>
            <w:tcW w:w="1494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pacing w:val="-4"/>
                <w:sz w:val="20"/>
                <w:szCs w:val="20"/>
                <w:bdr w:val="nil"/>
                <w:lang w:eastAsia="ru-RU"/>
              </w:rPr>
              <w:t>СП 42.13330.2016 Градостроительство. Планировка и застройка городских и сельских поселений. Актуализированная редакция СНиП 2.07.01-89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566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Предприятия общественного питания периодического спроса (рестораны, кафе)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4-5 посадочных мест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546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Магазины-склады (мелкооптовой и розничной торговли, гипермаркеты)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30-35 м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  <w:t>2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общей площади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598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Объекты торгового назначения с широким ассортиментом товаров периодического спроса продовольственной и (или) непродовольственной групп (торговые центры, торговые комплексы, супермаркеты, универсамы, универмаги и т.п.)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40-50 м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  <w:t>2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общей площади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598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Специализированные магазины по продаже товаров эпизодического спроса непродовольственной группы (спортивные, автосалоны, мебельные, бытовой техники, музыкальных инструментов, ювелирные, книжные и т.п.)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60-70 м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  <w:t>2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общей площади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73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Объекты коммунально-бытового обслуживания: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632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бани</w:t>
            </w:r>
            <w:proofErr w:type="gramEnd"/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5-6 единовременных посетителей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260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ателье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, фотосалоны городского значения, салоны-парикмахерские, салоны красоты, солярии, салоны моды, свадебные салоны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10-15 м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  <w:t>2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общей площади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411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салоны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ритуальных услуг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20-25 м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  <w:t>2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общей площади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632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химчистки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, прачечные, ремонтные мастерские, специализированные центры по обслуживанию сложной бытовой техники и др.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1-2 рабочих места приемщика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632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Рынки: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35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универсальные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и непродовольственные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30-40 м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  <w:t>2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общей площади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490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продовольственные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и сельскохозяйственные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40-50 м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  <w:t>2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общей площади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48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lastRenderedPageBreak/>
              <w:t>Спортивные комплексы и стадионы с трибунами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25-30 мест на трибунах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48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Оздоровительные комплексы (фитнес-клубы, ФОК, спортивные и тренажерные залы)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48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общей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площадью менее 1000 м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  <w:t>2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25-40 м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  <w:t>2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общей площади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48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общей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площадью 1000 м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  <w:t>2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и более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40-55 м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  <w:t>2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общей площади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48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Муниципальные детские физкультурно-оздоровительные объекты локального и районного уровней обслуживания: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48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тренажерные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залы площадью 150-500 м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  <w:t>2</w:t>
            </w:r>
            <w:r w:rsidRPr="002C338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106045" cy="223520"/>
                      <wp:effectExtent l="0" t="0" r="8255" b="5080"/>
                      <wp:docPr id="1" name="Прямоугольник 1" descr="СП 42.13330.2016 Градостроительство. Планировка и застройка городских и сельских поселений. Актуализированная редакция СНиП 2.07.01-89* (с Изменениями N 1, 2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045" cy="223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BE49EF" id="Прямоугольник 1" o:spid="_x0000_s1026" alt="СП 42.13330.2016 Градостроительство. Планировка и застройка городских и сельских поселений. Актуализированная редакция СНиП 2.07.01-89* (с Изменениями N 1, 2)" style="width:8.35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8-10 единовременных посетителей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48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ФОК с залом площадью 1000-2000 м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  <w:t>2</w:t>
            </w:r>
            <w:r w:rsidRPr="002C338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106045" cy="223520"/>
                      <wp:effectExtent l="0" t="0" r="8255" b="5080"/>
                      <wp:docPr id="4" name="Прямоугольник 4" descr="СП 42.13330.2016 Градостроительство. Планировка и застройка городских и сельских поселений. Актуализированная редакция СНиП 2.07.01-89* (с Изменениями N 1, 2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045" cy="223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E5AC6B" id="Прямоугольник 4" o:spid="_x0000_s1026" alt="СП 42.13330.2016 Градостроительство. Планировка и застройка городских и сельских поселений. Актуализированная редакция СНиП 2.07.01-89* (с Изменениями N 1, 2)" style="width:8.35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10 единовременных посетителей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48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ФОК с залом и бассейном общей площадью 2000-3000 м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vertAlign w:val="superscript"/>
                <w:lang w:eastAsia="ru-RU"/>
              </w:rPr>
              <w:t>2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5-7 единовременных посетителей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48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Специализированные спортивные клубы и комплексы (теннис, конный спорт, горнолыжные центры и др.)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3-4 единовременных посетителей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48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Аквапарки, бассейны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5-7 единовременных посетителей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118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Поликлиники, в том числе амбулатории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10-12 из 100 сотрудников или на 4-6 из 100 посещений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D138D3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0"/>
                <w:szCs w:val="20"/>
                <w:bdr w:val="nil"/>
                <w:lang w:eastAsia="ru-RU"/>
              </w:rPr>
            </w:pPr>
            <w:hyperlink r:id="rId27" w:history="1">
              <w:r w:rsidR="002C3387" w:rsidRPr="002C3387">
                <w:rPr>
                  <w:rFonts w:ascii="Times New Roman" w:eastAsia="Helvetica Neue Light" w:hAnsi="Times New Roman" w:cs="Times New Roman"/>
                  <w:spacing w:val="-4"/>
                  <w:sz w:val="20"/>
                  <w:szCs w:val="20"/>
                  <w:bdr w:val="nil"/>
                  <w:lang w:eastAsia="ru-RU"/>
                </w:rPr>
                <w:t>СП 158.13330</w:t>
              </w:r>
            </w:hyperlink>
            <w:r w:rsidR="002C3387" w:rsidRPr="002C3387">
              <w:rPr>
                <w:rFonts w:ascii="Times New Roman" w:eastAsia="Helvetica Neue Light" w:hAnsi="Times New Roman" w:cs="Times New Roman"/>
                <w:spacing w:val="-4"/>
                <w:sz w:val="20"/>
                <w:szCs w:val="20"/>
                <w:bdr w:val="nil"/>
                <w:lang w:eastAsia="ru-RU"/>
              </w:rPr>
              <w:t>.2014 Здания и помещения медицинских организаций. Правила проектирования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632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Гостиницы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площадь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автостоянки определяют с учетом требуемого числа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D138D3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both"/>
              <w:rPr>
                <w:rFonts w:ascii="Times New Roman" w:eastAsia="Helvetica Neue Light" w:hAnsi="Times New Roman" w:cs="Times New Roman"/>
                <w:spacing w:val="-4"/>
                <w:sz w:val="20"/>
                <w:szCs w:val="20"/>
                <w:bdr w:val="nil"/>
                <w:lang w:eastAsia="ru-RU"/>
              </w:rPr>
            </w:pPr>
            <w:hyperlink r:id="rId28" w:history="1">
              <w:r w:rsidR="002C3387" w:rsidRPr="002C3387">
                <w:rPr>
                  <w:rFonts w:ascii="Times New Roman" w:eastAsia="Helvetica Neue Light" w:hAnsi="Times New Roman" w:cs="Times New Roman"/>
                  <w:spacing w:val="-4"/>
                  <w:sz w:val="20"/>
                  <w:szCs w:val="20"/>
                  <w:bdr w:val="nil"/>
                  <w:lang w:eastAsia="ru-RU"/>
                </w:rPr>
                <w:t>СП 257.1325800</w:t>
              </w:r>
            </w:hyperlink>
            <w:r w:rsidR="002C3387" w:rsidRPr="002C3387">
              <w:rPr>
                <w:rFonts w:ascii="Times New Roman" w:eastAsia="Helvetica Neue Light" w:hAnsi="Times New Roman" w:cs="Times New Roman"/>
                <w:spacing w:val="-4"/>
                <w:sz w:val="20"/>
                <w:szCs w:val="20"/>
                <w:bdr w:val="nil"/>
                <w:lang w:eastAsia="ru-RU"/>
              </w:rPr>
              <w:t>.2016 Здания гостиниц. Правила проектирования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632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Дома отдыха и санатории, санатории-профилактории, базы отдыха предприятий и туристские базы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center"/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</w:pPr>
            <w:proofErr w:type="gram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одно</w:t>
            </w:r>
            <w:proofErr w:type="gram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машино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-место на 3-5 из 100 отдыхающих и обслуживающего персонала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bdr w:val="nil"/>
                <w:lang w:eastAsia="ru-RU"/>
              </w:rPr>
            </w:pP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0"/>
                <w:szCs w:val="20"/>
                <w:bdr w:val="nil"/>
                <w:lang w:eastAsia="ru-RU"/>
              </w:rPr>
              <w:t xml:space="preserve">Проведение работ связанных с изменением внешних поверхностей общественных зданий, строений, сооружений (в том числе облицовка фасада, создание и изменение входных групп, создание и остекление навесов, устройство террас, окраска фасадов жилых и общественных зданий, строений, сооружений), независимо от форм собственности, осуществляется в соответствии с паспортом наружной отделки и цветового решения фасада </w:t>
            </w:r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в порядке, предусмотренном постановлением администрации </w:t>
            </w:r>
            <w:proofErr w:type="spellStart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>Новоалександровского</w:t>
            </w:r>
            <w:proofErr w:type="spellEnd"/>
            <w:r w:rsidRPr="002C3387">
              <w:rPr>
                <w:rFonts w:ascii="Times New Roman" w:eastAsia="Helvetica Neue Light" w:hAnsi="Times New Roman" w:cs="Times New Roman"/>
                <w:sz w:val="20"/>
                <w:szCs w:val="20"/>
                <w:bdr w:val="nil"/>
                <w:lang w:eastAsia="ru-RU"/>
              </w:rPr>
              <w:t xml:space="preserve"> городского округа.</w:t>
            </w:r>
          </w:p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0"/>
                <w:szCs w:val="20"/>
                <w:bdr w:val="nil"/>
                <w:lang w:eastAsia="ru-RU"/>
              </w:rPr>
              <w:t>Изменение фасадов зданий, строений, сооружений, являющихся объектами культурного наследия (памятниками истории и культуры), осуществляется в соответствии с требованиями законодательства об объектах культурного наследия.</w:t>
            </w:r>
          </w:p>
          <w:p w:rsidR="002C3387" w:rsidRPr="002C3387" w:rsidRDefault="002C3387" w:rsidP="002C3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z w:val="20"/>
                <w:szCs w:val="20"/>
                <w:bdr w:val="nil"/>
                <w:lang w:eastAsia="ru-RU"/>
              </w:rPr>
              <w:t>Формирование архитектурного решения фасадов зданий, строений, сооружений, являющихся объектами культурного наследия, в том числе выявленными объектами культурного наследия, осуществляется в соответствии с законодательством в области сохранения, использования, популяризации и государственной охраны объектов культурного наследия. Оформление колористических решений фасадов зданий, строений, сооружений, являющихся объектами культурного наследия, в том числе выявленными объектами культурного наследия, производится в составе соответствующей проектной документации.</w:t>
            </w:r>
          </w:p>
        </w:tc>
      </w:tr>
      <w:tr w:rsidR="002C3387" w:rsidRPr="002C3387" w:rsidTr="000868B3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C3387" w:rsidRPr="002C3387" w:rsidRDefault="002C3387" w:rsidP="002C3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2C338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Согласно СП 42.13330.2016 площадь озелененных территорий общего пользования должна составлять не менее 8 м</w:t>
            </w:r>
            <w:r w:rsidRPr="002C338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vertAlign w:val="superscript"/>
                <w:lang w:eastAsia="ru-RU"/>
              </w:rPr>
              <w:t>2</w:t>
            </w:r>
            <w:r w:rsidRPr="002C338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/чел. в г. Новоалександровске и 12 м</w:t>
            </w:r>
            <w:r w:rsidRPr="002C338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vertAlign w:val="superscript"/>
                <w:lang w:eastAsia="ru-RU"/>
              </w:rPr>
              <w:t>2</w:t>
            </w:r>
            <w:r w:rsidRPr="002C338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в сельских населенных пунктах городского округа.</w:t>
            </w:r>
          </w:p>
        </w:tc>
      </w:tr>
    </w:tbl>
    <w:p w:rsidR="002C3387" w:rsidRPr="002C3387" w:rsidRDefault="002C3387" w:rsidP="002C338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2.2.Технические условия подключения объекта капитального строительства к сетям инженерно-технического обеспечения, срок действия технических условий, информация о плате за подключение для земельного участка с кадастровым номером 26:04:020412:412</w:t>
      </w:r>
    </w:p>
    <w:p w:rsidR="002C3387" w:rsidRPr="002C3387" w:rsidRDefault="002C3387" w:rsidP="002C338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1) Электроснабжение:</w:t>
      </w:r>
    </w:p>
    <w:p w:rsidR="002C3387" w:rsidRPr="002C3387" w:rsidRDefault="002C3387" w:rsidP="002C3387">
      <w:pPr>
        <w:tabs>
          <w:tab w:val="left" w:pos="567"/>
          <w:tab w:val="left" w:pos="3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условия подключения выданы филиалом ПАО «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Северный </w:t>
      </w:r>
      <w:proofErr w:type="gram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Кавказ»-</w:t>
      </w:r>
      <w:proofErr w:type="gram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«Ставропольэнерго» - Новотроицкие электрические сети 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№16/3нэс.01/166-исх-ПО от 27.04.2021. Конкретные условия технологического присоединения объектов к сетям электроснабжения определяются при подаче соответствующей заявки в вышеуказанную организацию. Плата за подключение к сетям электроснабжения определяется исходя из конкретных условий технологического присоединения.</w:t>
      </w:r>
    </w:p>
    <w:p w:rsidR="002C3387" w:rsidRPr="002C3387" w:rsidRDefault="002C3387" w:rsidP="002C3387">
      <w:p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ar-SA"/>
        </w:rPr>
        <w:t>Ответ филиала ПАО «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Россети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Северный </w:t>
      </w:r>
      <w:proofErr w:type="gramStart"/>
      <w:r w:rsidRPr="002C3387">
        <w:rPr>
          <w:rFonts w:ascii="Times New Roman" w:eastAsia="Times New Roman" w:hAnsi="Times New Roman" w:cs="Times New Roman"/>
          <w:sz w:val="28"/>
          <w:szCs w:val="28"/>
          <w:lang w:eastAsia="ar-SA"/>
        </w:rPr>
        <w:t>Кавказ»-</w:t>
      </w:r>
      <w:proofErr w:type="gramEnd"/>
      <w:r w:rsidRPr="002C3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«Ставропольэнерго» - Новотроицкие электрические сети по техническим условиям, размещен на официальном Интернет-портале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Новоалександровского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округа Ставропольского края </w:t>
      </w:r>
      <w:r w:rsidRPr="002C3387">
        <w:rPr>
          <w:rFonts w:ascii="Times New Roman" w:eastAsia="Arial Unicode MS" w:hAnsi="Times New Roman" w:cs="Times New Roman"/>
          <w:iCs/>
          <w:sz w:val="28"/>
          <w:szCs w:val="28"/>
          <w:lang w:eastAsia="ar-SA" w:bidi="ru-RU"/>
        </w:rPr>
        <w:t>(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ar-SA"/>
        </w:rPr>
        <w:t>www.newalexandrovsk.ru</w:t>
      </w:r>
      <w:r w:rsidRPr="002C3387">
        <w:rPr>
          <w:rFonts w:ascii="Times New Roman" w:eastAsia="Arial Unicode MS" w:hAnsi="Times New Roman" w:cs="Times New Roman"/>
          <w:iCs/>
          <w:sz w:val="28"/>
          <w:szCs w:val="28"/>
          <w:lang w:eastAsia="ar-SA" w:bidi="ru-RU"/>
        </w:rPr>
        <w:t>)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и официальном сайте Российской Федерации </w:t>
      </w:r>
      <w:hyperlink r:id="rId29" w:history="1">
        <w:r w:rsidRPr="002C3387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www.torgi.gov.ru</w:t>
        </w:r>
      </w:hyperlink>
      <w:r w:rsidRPr="002C3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качестве приложения к извещению.</w:t>
      </w:r>
    </w:p>
    <w:p w:rsidR="002C3387" w:rsidRPr="002C3387" w:rsidRDefault="002C3387" w:rsidP="002C338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Газоснабжение:</w:t>
      </w:r>
    </w:p>
    <w:p w:rsidR="002C3387" w:rsidRPr="002C3387" w:rsidRDefault="002C3387" w:rsidP="002C3387">
      <w:pPr>
        <w:tabs>
          <w:tab w:val="left" w:pos="567"/>
          <w:tab w:val="left" w:pos="3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АО «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Новоалександровскрайгаз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от 24.07.2023г. №701 по техническим условиям, размещен на официальном Интернет-портале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</w:t>
      </w:r>
      <w:r w:rsidRPr="002C3387"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  <w:t>(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www.newalexandrovsk.ru</w:t>
      </w:r>
      <w:r w:rsidRPr="002C3387"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  <w:t>)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официальном сайте Российской Федерации </w:t>
      </w:r>
      <w:hyperlink r:id="rId30" w:history="1">
        <w:r w:rsidRPr="002C3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www.torgi.gov.ru</w:t>
        </w:r>
      </w:hyperlink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приложения к извещению.</w:t>
      </w:r>
    </w:p>
    <w:p w:rsidR="002C3387" w:rsidRPr="002C3387" w:rsidRDefault="002C3387" w:rsidP="002C338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Водоснабжение:</w:t>
      </w:r>
    </w:p>
    <w:p w:rsidR="002C3387" w:rsidRPr="002C3387" w:rsidRDefault="002C3387" w:rsidP="002C3387">
      <w:pPr>
        <w:tabs>
          <w:tab w:val="left" w:pos="567"/>
          <w:tab w:val="left" w:pos="3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МП НГО СК «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Расшеватский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водоканал» </w:t>
      </w:r>
      <w:r w:rsidR="00D1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bookmarkStart w:id="0" w:name="_GoBack"/>
      <w:bookmarkEnd w:id="0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технической возможности   подключения №24 от 16.06.2021 г.  </w:t>
      </w:r>
      <w:proofErr w:type="gram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</w:t>
      </w:r>
      <w:proofErr w:type="gram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Интернет-портале 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</w:t>
      </w:r>
      <w:r w:rsidRPr="002C3387"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  <w:t>(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www.newalexandrovsk.ru</w:t>
      </w:r>
      <w:r w:rsidRPr="002C3387"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  <w:t>)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официальном сайте Российской Федерации </w:t>
      </w:r>
      <w:hyperlink r:id="rId31" w:history="1">
        <w:r w:rsidRPr="002C3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www.torgi.gov.ru</w:t>
        </w:r>
      </w:hyperlink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приложения к извещению.</w:t>
      </w:r>
    </w:p>
    <w:p w:rsidR="002C3387" w:rsidRPr="002C3387" w:rsidRDefault="002C3387" w:rsidP="002C338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3387" w:rsidRPr="002C3387" w:rsidRDefault="002C3387" w:rsidP="002C338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 о фактическом состоянии земельного участка: доступ к земельному участку возможен по существующей дороге, расположенной на землях кадастрового квартала 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ru-RU"/>
        </w:rPr>
        <w:t>26:04:020412</w:t>
      </w:r>
    </w:p>
    <w:p w:rsidR="002C3387" w:rsidRPr="002C3387" w:rsidRDefault="002C3387" w:rsidP="002C338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Осмотр земельного участка на местности производится заинтересованными лицами самостоятельно.   </w:t>
      </w:r>
    </w:p>
    <w:p w:rsidR="002C3387" w:rsidRPr="002C3387" w:rsidRDefault="002C3387" w:rsidP="002C338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3387" w:rsidRPr="002C3387" w:rsidRDefault="002C3387" w:rsidP="002C3387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 w:bidi="ru-RU"/>
        </w:rPr>
        <w:t>Требования к заявителям на участие в аукционе, порядок регистрации на электронной площадке:</w:t>
      </w:r>
    </w:p>
    <w:p w:rsidR="002C3387" w:rsidRPr="002C3387" w:rsidRDefault="002C3387" w:rsidP="002C3387">
      <w:pPr>
        <w:widowControl w:val="0"/>
        <w:spacing w:after="333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Заявителем на участие в аукционе (далее - заявитель) может быть любое юридическое лицо независимо от организационно-правовой формы, формы собственности, физическое лицо, в том числе индивидуальный предприниматель, претендующие на заключение договора аренды земельного участка, имеющие электронную подпись, оформленную в соответствии с требованиями действующего законодательства удостоверяющим центром (далее - ЭП), и прошедшие регистрацию (аккредитацию) на электронной площадке "Сбербанк-АСТ" (далее - электронная площадка) по адресу: </w:t>
      </w:r>
      <w:hyperlink r:id="rId32" w:history="1">
        <w:r w:rsidRPr="002C3387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bidi="en-US"/>
          </w:rPr>
          <w:t>http</w:t>
        </w:r>
        <w:r w:rsidRPr="002C3387">
          <w:rPr>
            <w:rFonts w:ascii="Times New Roman" w:eastAsia="Times New Roman" w:hAnsi="Times New Roman" w:cs="Times New Roman"/>
            <w:sz w:val="28"/>
            <w:szCs w:val="28"/>
            <w:u w:val="single"/>
            <w:lang w:bidi="en-US"/>
          </w:rPr>
          <w:t>://</w:t>
        </w:r>
        <w:proofErr w:type="spellStart"/>
        <w:r w:rsidRPr="002C3387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bidi="en-US"/>
          </w:rPr>
          <w:t>utp</w:t>
        </w:r>
        <w:proofErr w:type="spellEnd"/>
        <w:r w:rsidRPr="002C3387">
          <w:rPr>
            <w:rFonts w:ascii="Times New Roman" w:eastAsia="Times New Roman" w:hAnsi="Times New Roman" w:cs="Times New Roman"/>
            <w:sz w:val="28"/>
            <w:szCs w:val="28"/>
            <w:u w:val="single"/>
            <w:lang w:bidi="en-US"/>
          </w:rPr>
          <w:t>.</w:t>
        </w:r>
        <w:proofErr w:type="spellStart"/>
        <w:r w:rsidRPr="002C3387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bidi="en-US"/>
          </w:rPr>
          <w:t>sberbank</w:t>
        </w:r>
        <w:proofErr w:type="spellEnd"/>
        <w:r w:rsidRPr="002C3387">
          <w:rPr>
            <w:rFonts w:ascii="Times New Roman" w:eastAsia="Times New Roman" w:hAnsi="Times New Roman" w:cs="Times New Roman"/>
            <w:sz w:val="28"/>
            <w:szCs w:val="28"/>
            <w:u w:val="single"/>
            <w:lang w:bidi="en-US"/>
          </w:rPr>
          <w:t>-</w:t>
        </w:r>
        <w:proofErr w:type="spellStart"/>
        <w:r w:rsidRPr="002C3387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bidi="en-US"/>
          </w:rPr>
          <w:t>ast</w:t>
        </w:r>
        <w:proofErr w:type="spellEnd"/>
        <w:r w:rsidRPr="002C3387">
          <w:rPr>
            <w:rFonts w:ascii="Times New Roman" w:eastAsia="Times New Roman" w:hAnsi="Times New Roman" w:cs="Times New Roman"/>
            <w:sz w:val="28"/>
            <w:szCs w:val="28"/>
            <w:u w:val="single"/>
            <w:lang w:bidi="en-US"/>
          </w:rPr>
          <w:t>.</w:t>
        </w:r>
        <w:proofErr w:type="spellStart"/>
        <w:r w:rsidRPr="002C3387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bidi="en-US"/>
          </w:rPr>
          <w:t>ru</w:t>
        </w:r>
        <w:proofErr w:type="spellEnd"/>
      </w:hyperlink>
      <w:r w:rsidRPr="002C338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соответствии с Регламентом универсальной торговой платформы АО "Сбербанк -АСТ".</w:t>
      </w:r>
    </w:p>
    <w:p w:rsidR="002C3387" w:rsidRPr="002C3387" w:rsidRDefault="002C3387" w:rsidP="002C3387">
      <w:pPr>
        <w:autoSpaceDE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 w:bidi="ru-RU"/>
        </w:rPr>
        <w:t>Подача, изменение, отзыв заявки на участие в аукционе: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 xml:space="preserve">Подача заявки на участие в аукционе (далее - заявка) осуществляется только посредствам интерфейса универсальной торговой платформы АО "Сбербанк - </w:t>
      </w: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lastRenderedPageBreak/>
        <w:t>АСТ" торговой секции "Приватизация, аренда и продажа прав" из личного кабинета заявителя (представителя заявителя).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 xml:space="preserve">Инструкция по работе в торговой секции "Приватизация, аренда и продажа прав" универсальной торговой платформы АО "Сбербанк - АСТ" размещена по адресу: 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zh-CN"/>
        </w:rPr>
        <w:t>https</w:t>
      </w:r>
      <w:r w:rsidRPr="002C3387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://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zh-CN"/>
        </w:rPr>
        <w:t>utp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.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zh-CN"/>
        </w:rPr>
        <w:t>sberbank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-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zh-CN"/>
        </w:rPr>
        <w:t>ast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.</w:t>
      </w:r>
      <w:proofErr w:type="spellStart"/>
      <w:r w:rsidRPr="002C338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zh-CN"/>
        </w:rPr>
        <w:t>ru</w:t>
      </w:r>
      <w:proofErr w:type="spellEnd"/>
      <w:r w:rsidRPr="002C3387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/</w:t>
      </w:r>
      <w:r w:rsidRPr="002C338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zh-CN"/>
        </w:rPr>
        <w:t>AP</w:t>
      </w:r>
      <w:r w:rsidRPr="002C3387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/</w:t>
      </w:r>
      <w:r w:rsidRPr="002C338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zh-CN"/>
        </w:rPr>
        <w:t>Notice</w:t>
      </w:r>
      <w:r w:rsidRPr="002C3387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/652/</w:t>
      </w:r>
      <w:r w:rsidRPr="002C338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zh-CN"/>
        </w:rPr>
        <w:t>Instructions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Заявка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-копии документов, удостоверяющих личность заявителя (для граждан);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-надлежащим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-документы, подтверждающие внесение задатка.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В случае подачи заявки представителем заявителя к заявке на участие в электронном аукционе прикладывается файл документа, подтверждающего его полномочия (доверенность). В случае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 и копию паспорта уполномоченного лица.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В доверенности на осуществление действий от имени заявителя, указываются полномочия для участия в аукционе, а именно: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-подписывать заявки на участие в аукционе в электронной форме;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-делать предложения по цене в день проведения аукциона;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-подписывать протокол о результатах аукциона в случае признания победителем аукциона;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-заключать и подписывать договор аренды земельного участка по результатам аукциона.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Заявка, а также прилагаемые к ней документы подписываются усиленной квалифицированной электронной подписью заявителя.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Один заявитель вправе подать только одну заявку на участие в аукционе по каждому лоту.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Заявка не может быть принята Оператором электронной площадки в случаях: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-подачи заявителем второй заявки на участие в отношении одного и того же лота при условии, что поданная ранее заявка таким заявителем не отозвана;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-подачи заявки по истечении установленного срока подачи заявок;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-некорректного заполнения формы заявки, в том числе не заполнения полей, являющихся обязательными для заполнения.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До окончания срока подачи заявки заявитель, подавший заявку, вправе изменить или отозвать ее.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Отзыв и изменение заявки осуществляется заявителем из личного кабинета посредством штатного интерфейса торговой секции. Изменение заявки осуществляется путем отзыва ранее поданной и подачи новой заявки.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lastRenderedPageBreak/>
        <w:t>В случае отзыва заявки заявителем до окончания срока подачи заявок, Оператор электронной площадки в течение одного часа прекращает блокирование в отношении его денежных средств, заблокированных на лицевом счете в размере задатка за участие в аукционе. В случае отзыва заявки заявителем до формирования протокола об определении участников, Оператор электронной площадки прекращает блокирование денежных средств такого заявителя в течение одного дня, следующего за днем размещения протокола об определении участников по лоту.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</w:p>
    <w:p w:rsidR="002C3387" w:rsidRPr="002C3387" w:rsidRDefault="002C3387" w:rsidP="002C3387">
      <w:pPr>
        <w:autoSpaceDE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 w:bidi="ru-RU"/>
        </w:rPr>
        <w:t>Порядок внесения и возврата задатка для участия в аукционе: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Оплата задатка для участия в аукционе (далее - задаток)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В целях исполнения требований о внесении задатка заявитель обеспечивает наличие денежных средств на счёте Оператора электронной площадки в размере 100% (процентов) начальной цены предмета аукциона, указанном в извещении.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Перечисление денежных средств на счёт Оператора электронной площадки производится по следующим реквизитам: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Получатель платежа: АО " Сбербанк- АСТ"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Банковские реквизиты: ПАО "Сбербанк России" г. Москва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БИК 044525225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Расчетный счет: 40702810300020038047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Корреспондентский счет: 30101810400000000225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ИНН 7707308480 КПП 770401001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Назначение платежа: "Перечисление денежных средств в качестве задатка, ИНН плательщика, НДС не облагается".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 xml:space="preserve">Образец платежного поручения приведен на электронной площадке по адресу: </w:t>
      </w:r>
      <w:hyperlink r:id="rId33" w:history="1"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zh-CN"/>
          </w:rPr>
          <w:t>https</w:t>
        </w:r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zh-CN"/>
          </w:rPr>
          <w:t>://</w:t>
        </w:r>
        <w:proofErr w:type="spellStart"/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zh-CN"/>
          </w:rPr>
          <w:t>utp</w:t>
        </w:r>
        <w:proofErr w:type="spellEnd"/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zh-CN"/>
          </w:rPr>
          <w:t>.</w:t>
        </w:r>
        <w:proofErr w:type="spellStart"/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zh-CN"/>
          </w:rPr>
          <w:t>sberbank</w:t>
        </w:r>
        <w:proofErr w:type="spellEnd"/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zh-CN"/>
          </w:rPr>
          <w:t>-</w:t>
        </w:r>
        <w:proofErr w:type="spellStart"/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zh-CN"/>
          </w:rPr>
          <w:t>ast</w:t>
        </w:r>
        <w:proofErr w:type="spellEnd"/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zh-CN"/>
          </w:rPr>
          <w:t>.</w:t>
        </w:r>
        <w:proofErr w:type="spellStart"/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zh-CN"/>
          </w:rPr>
          <w:t>ru</w:t>
        </w:r>
        <w:proofErr w:type="spellEnd"/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zh-CN"/>
          </w:rPr>
          <w:t>/</w:t>
        </w:r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zh-CN"/>
          </w:rPr>
          <w:t>Main</w:t>
        </w:r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zh-CN"/>
          </w:rPr>
          <w:t>/</w:t>
        </w:r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zh-CN"/>
          </w:rPr>
          <w:t>Notice</w:t>
        </w:r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zh-CN"/>
          </w:rPr>
          <w:t>/697/</w:t>
        </w:r>
        <w:r w:rsidRPr="002C338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zh-CN"/>
          </w:rPr>
          <w:t>Requisites</w:t>
        </w:r>
      </w:hyperlink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В случае если от имени заявителя действует уполномоченное лицо, задаток подлежит перечислению от лица, подающего заявку.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Денежные средства, перечисленные за участника третьим лицом, не зачисляются на счет такого участника.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Операции по перечислению денежных средств на счете Оператора электронной площадки учитываются на аналитическом счете заявителя, организованном Оператором электронной площадки.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Денежные средства в размере, равном задатку в размере 100% (процентов) начальной цены предмета аукциона, указанному в извещении, блокируются Оператором электронной площадки на аналитическом счете заявителя.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Возврат задатка осуществляется в соответствии с регламентом Оператора электронной площадки: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lastRenderedPageBreak/>
        <w:t>- вывод денежных средств с лицевого счета заявителя на универсальной торговой площадке осуществляется на основании заявления на вывод денежных средств, сформированного пользователем в своем Личном кабинете на универсальной торговой площадке (в подразделе "Мои заявления на вывод средств" раздела "Счета"). Необходимо оформить заявление на вывод денежных средств, в котором указывается сумма денежных средств для вывода, и подписать его электронной подписью.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Возврат денежных средств осуществляется на банковские реквизиты, указанные в регистрационных данных заявителя на универсальной торговой площадке.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Комиссия за вывод денежных средств с электронной площадки не взимается.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Ориентировочный срок поступления денежных средств на счет в Банке с момента вывода денежных средств с электронной площадки - до 3 рабочих дней.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Задаток победителя аукциона в электронной форме, а также задаток иных лиц,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Задатки, внесенные указанными лицами, не заключившими в установленном в извещении порядке договор аренды земельного участка вследствие уклонения от заключения указанного договора, не возвращаются.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Перечисление задатка арендодателю в счет арендной платы за земельный участок осуществляется Оператором электронной площадки.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</w:pP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Порядок рассмотрения заявок на аукционе, порядок проведения аукциона 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Порядок рассмотрения заявок на аукционе, порядок проведения аукциона р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егламентирован статьями 39.11-39.13 Земельного кодекса Российской Федерации, а также определен </w:t>
      </w: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инструкцией по работе в торговой секции "Приватизация, аренда и продажа прав" универсальной торговой платформы АО "Сбербанк - АСТ".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</w:p>
    <w:p w:rsidR="002C3387" w:rsidRPr="002C3387" w:rsidRDefault="002C3387" w:rsidP="002C3387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 w:bidi="ru-RU"/>
        </w:rPr>
        <w:t>Условия и сроки заключения договора аренды земельного участка: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</w:pP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По результатам проведения аукциона не допускается заключение договора аренды земельного участка ранее чем через десять дней со дня размещения протокола рассмотрения заявок на участие в аукционе в случае, если аукцион признан несостоявшимся, либо протокола о результатах аукциона на официальном сайте.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Если аукцион состоялся, то в течение 5 (пяти) дней со дня истечения 10-дневного срока со дня размещения соответствующего протокола Организатор аукциона направляет победителю аукциона или единственному участнику подписанный проект договора аренды земельного участка, который следует подписать и представить в адрес Организатора аукциона в течение 30 (тридцати) дней.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lastRenderedPageBreak/>
        <w:t>По результатам проведения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арендодатель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В случае, если победитель аукциона или иное лицо, с которым заключается договор аренды земельного участка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подписанный со своей стороны указанный договор, арендодатель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</w:p>
    <w:p w:rsidR="002C3387" w:rsidRPr="002C3387" w:rsidRDefault="002C3387" w:rsidP="002C3387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 w:bidi="ru-RU"/>
        </w:rPr>
        <w:t>Отказ от проведения аукциона: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Организатор аукциона может принять решение об отказе в проведении аукциона в случае выявления обстоятельств, предусмотренных пунктом 8 статьи 39.11 Земельного кодекса Российской Федерации.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 w:bidi="ru-RU"/>
        </w:rPr>
        <w:t>Извещение об отказе в проведении аукциона размещается на официальном сайте торгов Организатором аукциона в течение трех дней со дня принятия данного решения.</w:t>
      </w:r>
    </w:p>
    <w:p w:rsidR="002C3387" w:rsidRPr="002C3387" w:rsidRDefault="002C3387" w:rsidP="002C3387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 w:bidi="ru-RU"/>
        </w:rPr>
        <w:t>Заключительные положения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  <w:r w:rsidRPr="002C33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  <w:t xml:space="preserve"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 и Регламентом электронной площадки </w:t>
      </w:r>
      <w:r w:rsidRPr="002C33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"Сбербанк-АСТ"</w:t>
      </w: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</w:p>
    <w:p w:rsidR="002C3387" w:rsidRPr="002C3387" w:rsidRDefault="002C3387" w:rsidP="002C338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 w:bidi="ru-RU"/>
        </w:rPr>
      </w:pPr>
    </w:p>
    <w:p w:rsidR="002C3387" w:rsidRPr="00BA652B" w:rsidRDefault="002C3387" w:rsidP="002C338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C3387" w:rsidRPr="00BA6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Malgun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 Neue Light">
    <w:altName w:val="Microsoft YaHe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2CB3F06"/>
    <w:multiLevelType w:val="singleLevel"/>
    <w:tmpl w:val="22CB3F06"/>
    <w:lvl w:ilvl="0">
      <w:start w:val="1"/>
      <w:numFmt w:val="decimal"/>
      <w:suff w:val="space"/>
      <w:lvlText w:val="%1."/>
      <w:lvlJc w:val="left"/>
    </w:lvl>
  </w:abstractNum>
  <w:abstractNum w:abstractNumId="2">
    <w:nsid w:val="5B156E38"/>
    <w:multiLevelType w:val="hybridMultilevel"/>
    <w:tmpl w:val="98404C30"/>
    <w:lvl w:ilvl="0" w:tplc="925C3F6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E0A3F8A"/>
    <w:multiLevelType w:val="singleLevel"/>
    <w:tmpl w:val="22CB3F06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5B0"/>
    <w:rsid w:val="000939DF"/>
    <w:rsid w:val="000A55B0"/>
    <w:rsid w:val="002C3387"/>
    <w:rsid w:val="0049256B"/>
    <w:rsid w:val="00891E37"/>
    <w:rsid w:val="00BA652B"/>
    <w:rsid w:val="00D138D3"/>
    <w:rsid w:val="00F2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3EC28-F384-4286-92AD-6A5B74F48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9256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256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9256B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256B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56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256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9256B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9256B"/>
    <w:rPr>
      <w:rFonts w:ascii="Calibri" w:eastAsia="Times New Roman" w:hAnsi="Calibri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49256B"/>
  </w:style>
  <w:style w:type="paragraph" w:customStyle="1" w:styleId="12">
    <w:name w:val="çàãîëîâîê 1"/>
    <w:basedOn w:val="a"/>
    <w:next w:val="a"/>
    <w:rsid w:val="0049256B"/>
    <w:pPr>
      <w:keepNext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Îñíîâíîé øðèôò"/>
    <w:rsid w:val="0049256B"/>
  </w:style>
  <w:style w:type="paragraph" w:customStyle="1" w:styleId="21">
    <w:name w:val="Основной текст 21"/>
    <w:basedOn w:val="a"/>
    <w:rsid w:val="0049256B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rsid w:val="0049256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rsid w:val="0049256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aaieiaie1">
    <w:name w:val="caaieiaie 1"/>
    <w:basedOn w:val="a"/>
    <w:next w:val="a"/>
    <w:rsid w:val="0049256B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4925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49256B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925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qFormat/>
    <w:rsid w:val="004925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0">
    <w:name w:val="ConsNonformat Знак"/>
    <w:link w:val="ConsNonformat"/>
    <w:rsid w:val="0049256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Содержимое таблицы"/>
    <w:basedOn w:val="a"/>
    <w:rsid w:val="0049256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9256B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semiHidden/>
    <w:rsid w:val="0049256B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a">
    <w:name w:val="Body Text Indent"/>
    <w:basedOn w:val="a"/>
    <w:link w:val="ab"/>
    <w:rsid w:val="0049256B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4925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49256B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4925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"/>
    <w:basedOn w:val="a"/>
    <w:link w:val="ad"/>
    <w:qFormat/>
    <w:rsid w:val="0049256B"/>
    <w:pPr>
      <w:widowControl w:val="0"/>
      <w:spacing w:before="60" w:after="60" w:line="276" w:lineRule="auto"/>
      <w:jc w:val="both"/>
    </w:pPr>
    <w:rPr>
      <w:rFonts w:ascii="Arial" w:eastAsia="Calibri" w:hAnsi="Arial" w:cs="Times New Roman"/>
      <w:sz w:val="20"/>
      <w:lang w:val="en-US"/>
    </w:rPr>
  </w:style>
  <w:style w:type="character" w:customStyle="1" w:styleId="ad">
    <w:name w:val="Таблица Знак"/>
    <w:link w:val="ac"/>
    <w:rsid w:val="0049256B"/>
    <w:rPr>
      <w:rFonts w:ascii="Arial" w:eastAsia="Calibri" w:hAnsi="Arial" w:cs="Times New Roman"/>
      <w:sz w:val="20"/>
      <w:lang w:val="en-US"/>
    </w:rPr>
  </w:style>
  <w:style w:type="character" w:styleId="ae">
    <w:name w:val="Hyperlink"/>
    <w:uiPriority w:val="99"/>
    <w:unhideWhenUsed/>
    <w:rsid w:val="0049256B"/>
    <w:rPr>
      <w:color w:val="0563C1"/>
      <w:u w:val="single"/>
    </w:rPr>
  </w:style>
  <w:style w:type="paragraph" w:styleId="af">
    <w:name w:val="header"/>
    <w:basedOn w:val="a"/>
    <w:link w:val="af0"/>
    <w:uiPriority w:val="99"/>
    <w:unhideWhenUsed/>
    <w:rsid w:val="004925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4925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4925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4925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Strong"/>
    <w:uiPriority w:val="22"/>
    <w:qFormat/>
    <w:rsid w:val="0049256B"/>
    <w:rPr>
      <w:b/>
      <w:bCs/>
    </w:rPr>
  </w:style>
  <w:style w:type="character" w:customStyle="1" w:styleId="x-phmenubuttonx-phmenubuttonauth">
    <w:name w:val="x-ph__menu__button x-ph__menu__button_auth"/>
    <w:rsid w:val="0049256B"/>
  </w:style>
  <w:style w:type="character" w:styleId="af4">
    <w:name w:val="FollowedHyperlink"/>
    <w:uiPriority w:val="99"/>
    <w:semiHidden/>
    <w:unhideWhenUsed/>
    <w:rsid w:val="0049256B"/>
    <w:rPr>
      <w:color w:val="954F72"/>
      <w:u w:val="single"/>
    </w:rPr>
  </w:style>
  <w:style w:type="table" w:customStyle="1" w:styleId="5">
    <w:name w:val="Сетка таблицы5"/>
    <w:basedOn w:val="a1"/>
    <w:next w:val="a6"/>
    <w:uiPriority w:val="59"/>
    <w:rsid w:val="0049256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6"/>
    <w:uiPriority w:val="59"/>
    <w:rsid w:val="0049256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6"/>
    <w:uiPriority w:val="59"/>
    <w:rsid w:val="0049256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49256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footnote text"/>
    <w:basedOn w:val="a"/>
    <w:link w:val="af6"/>
    <w:uiPriority w:val="99"/>
    <w:semiHidden/>
    <w:unhideWhenUsed/>
    <w:rsid w:val="004925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semiHidden/>
    <w:rsid w:val="004925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unhideWhenUsed/>
    <w:qFormat/>
    <w:rsid w:val="0049256B"/>
    <w:rPr>
      <w:vertAlign w:val="superscript"/>
    </w:rPr>
  </w:style>
  <w:style w:type="table" w:customStyle="1" w:styleId="13">
    <w:name w:val="Сетка таблицы1"/>
    <w:basedOn w:val="a1"/>
    <w:next w:val="a6"/>
    <w:uiPriority w:val="59"/>
    <w:qFormat/>
    <w:rsid w:val="0049256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qFormat/>
    <w:rsid w:val="0049256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Основной текст (4)1"/>
    <w:basedOn w:val="a"/>
    <w:link w:val="40"/>
    <w:qFormat/>
    <w:rsid w:val="0049256B"/>
    <w:pPr>
      <w:widowControl w:val="0"/>
      <w:shd w:val="clear" w:color="auto" w:fill="FFFFFF"/>
      <w:spacing w:before="300" w:after="60" w:line="322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Основной текст (4)_"/>
    <w:link w:val="41"/>
    <w:qFormat/>
    <w:rsid w:val="0049256B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220">
    <w:name w:val="Основной текст (2)2"/>
    <w:link w:val="25"/>
    <w:qFormat/>
    <w:rsid w:val="0049256B"/>
    <w:pPr>
      <w:widowControl w:val="0"/>
      <w:shd w:val="clear" w:color="auto" w:fill="FFFFFF"/>
      <w:spacing w:before="360" w:after="540" w:line="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(2) + Полужирный"/>
    <w:qFormat/>
    <w:rsid w:val="004925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_"/>
    <w:link w:val="220"/>
    <w:qFormat/>
    <w:rsid w:val="0049256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27">
    <w:name w:val="Основной текст (2)"/>
    <w:qFormat/>
    <w:rsid w:val="0049256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rsid w:val="004925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semiHidden/>
    <w:unhideWhenUsed/>
    <w:rsid w:val="00492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925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8">
    <w:name w:val="Нет списка2"/>
    <w:next w:val="a2"/>
    <w:semiHidden/>
    <w:rsid w:val="00BA652B"/>
  </w:style>
  <w:style w:type="paragraph" w:customStyle="1" w:styleId="221">
    <w:name w:val="Основной текст 22"/>
    <w:basedOn w:val="a"/>
    <w:rsid w:val="00BA652B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71">
    <w:name w:val="Сетка таблицы7"/>
    <w:basedOn w:val="a1"/>
    <w:next w:val="a6"/>
    <w:uiPriority w:val="59"/>
    <w:qFormat/>
    <w:rsid w:val="00BA6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next w:val="a6"/>
    <w:uiPriority w:val="59"/>
    <w:rsid w:val="00BA652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6"/>
    <w:uiPriority w:val="59"/>
    <w:rsid w:val="00BA652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6"/>
    <w:uiPriority w:val="59"/>
    <w:rsid w:val="00BA652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6"/>
    <w:uiPriority w:val="59"/>
    <w:rsid w:val="00BA652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6"/>
    <w:uiPriority w:val="59"/>
    <w:qFormat/>
    <w:rsid w:val="00BA652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6"/>
    <w:uiPriority w:val="59"/>
    <w:qFormat/>
    <w:rsid w:val="00BA652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2C3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tp.sberbank-ast.ru/" TargetMode="External"/><Relationship Id="rId18" Type="http://schemas.openxmlformats.org/officeDocument/2006/relationships/hyperlink" Target="http://utp.sberbank-ast.ru/" TargetMode="External"/><Relationship Id="rId26" Type="http://schemas.openxmlformats.org/officeDocument/2006/relationships/hyperlink" Target="http://docs.cntd.ru/document/556686921" TargetMode="External"/><Relationship Id="rId3" Type="http://schemas.openxmlformats.org/officeDocument/2006/relationships/styles" Target="styles.xml"/><Relationship Id="rId21" Type="http://schemas.openxmlformats.org/officeDocument/2006/relationships/hyperlink" Target="https://utp.sberbank-ast.ru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utp.sberbank-ast.ru/Main/Notice/988/Reglament" TargetMode="External"/><Relationship Id="rId12" Type="http://schemas.openxmlformats.org/officeDocument/2006/relationships/hyperlink" Target="http://utp.sberbank-ast.ru/AP" TargetMode="External"/><Relationship Id="rId17" Type="http://schemas.openxmlformats.org/officeDocument/2006/relationships/hyperlink" Target="https://login.consultant.ru/link/?req=doc&amp;base=LAW&amp;n=446195&amp;date=08.06.2023&amp;dst=101232&amp;field=134" TargetMode="External"/><Relationship Id="rId25" Type="http://schemas.openxmlformats.org/officeDocument/2006/relationships/hyperlink" Target="http://www.torgi.gov.ru" TargetMode="External"/><Relationship Id="rId33" Type="http://schemas.openxmlformats.org/officeDocument/2006/relationships/hyperlink" Target="https://utp.sberbank-ast.ru/Main/Notice/697/Requisite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6195&amp;date=08.06.2023&amp;dst=702&amp;field=134" TargetMode="External"/><Relationship Id="rId20" Type="http://schemas.openxmlformats.org/officeDocument/2006/relationships/hyperlink" Target="https://utp.sberbank-ast.ru/Main/Notice/988/Reglament" TargetMode="External"/><Relationship Id="rId29" Type="http://schemas.openxmlformats.org/officeDocument/2006/relationships/hyperlink" Target="http://www.torgi.gov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utp.sberbank-ast.ru/Main/Notice/988/Reglament" TargetMode="External"/><Relationship Id="rId11" Type="http://schemas.openxmlformats.org/officeDocument/2006/relationships/hyperlink" Target="mailto:anmrsk@bk.ru" TargetMode="External"/><Relationship Id="rId24" Type="http://schemas.openxmlformats.org/officeDocument/2006/relationships/hyperlink" Target="file:///E:\&#1061;&#1083;&#1072;&#1084;\&#1056;&#1072;&#1073;&#1086;&#1095;&#1080;&#1081;%20&#1089;&#1090;&#1086;&#1083;\&#1050;&#1088;&#1080;&#1089;&#1090;&#1080;&#1085;&#1072;_&#1087;&#1088;&#1086;&#1077;&#1082;&#1090;&#1099;\&#1050;&#1072;&#1083;&#1084;&#1099;&#1082;&#1080;&#1103;\&#1040;&#1095;&#1080;&#1085;&#1077;&#1088;&#1086;&#1074;&#1089;&#1082;&#1086;&#1077;\&#1055;&#1047;&#1047;_&#1040;&#1095;&#1080;&#1085;&#1077;&#1088;&#1086;&#1074;&#1089;&#1082;&#1086;&#1077;%20&#1057;&#1052;&#1054;.doc" TargetMode="External"/><Relationship Id="rId32" Type="http://schemas.openxmlformats.org/officeDocument/2006/relationships/hyperlink" Target="http://utp.sberbank-a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6195&amp;date=08.06.2023&amp;dst=690&amp;field=134" TargetMode="External"/><Relationship Id="rId23" Type="http://schemas.openxmlformats.org/officeDocument/2006/relationships/hyperlink" Target="file:///E:\&#1061;&#1083;&#1072;&#1084;\&#1056;&#1072;&#1073;&#1086;&#1095;&#1080;&#1081;%20&#1089;&#1090;&#1086;&#1083;\&#1050;&#1088;&#1080;&#1089;&#1090;&#1080;&#1085;&#1072;_&#1087;&#1088;&#1086;&#1077;&#1082;&#1090;&#1099;\&#1050;&#1072;&#1083;&#1084;&#1099;&#1082;&#1080;&#1103;\&#1040;&#1095;&#1080;&#1085;&#1077;&#1088;&#1086;&#1074;&#1089;&#1082;&#1086;&#1077;\&#1055;&#1047;&#1047;_&#1040;&#1095;&#1080;&#1085;&#1077;&#1088;&#1086;&#1074;&#1089;&#1082;&#1086;&#1077;%20&#1057;&#1052;&#1054;.doc" TargetMode="External"/><Relationship Id="rId28" Type="http://schemas.openxmlformats.org/officeDocument/2006/relationships/hyperlink" Target="http://docs.cntd.ru/document/456040113" TargetMode="External"/><Relationship Id="rId10" Type="http://schemas.openxmlformats.org/officeDocument/2006/relationships/hyperlink" Target="https://utp.sberbank-ast.ru/AP/Notice/1027/Instructions" TargetMode="External"/><Relationship Id="rId19" Type="http://schemas.openxmlformats.org/officeDocument/2006/relationships/hyperlink" Target="https://utp.sberbank-ast.ru/Main/Notice/988/Reglament" TargetMode="External"/><Relationship Id="rId31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tp.sberbank-ast.ru/AP/Notice/1027/Instructions" TargetMode="External"/><Relationship Id="rId14" Type="http://schemas.openxmlformats.org/officeDocument/2006/relationships/hyperlink" Target="https://login.consultant.ru/link/?req=doc&amp;base=LAW&amp;n=446195&amp;date=08.06.2023&amp;dst=689&amp;field=134" TargetMode="External"/><Relationship Id="rId22" Type="http://schemas.openxmlformats.org/officeDocument/2006/relationships/hyperlink" Target="file:///E:\&#1061;&#1083;&#1072;&#1084;\&#1056;&#1072;&#1073;&#1086;&#1095;&#1080;&#1081;%20&#1089;&#1090;&#1086;&#1083;\&#1050;&#1088;&#1080;&#1089;&#1090;&#1080;&#1085;&#1072;_&#1087;&#1088;&#1086;&#1077;&#1082;&#1090;&#1099;\&#1050;&#1072;&#1083;&#1084;&#1099;&#1082;&#1080;&#1103;\&#1040;&#1095;&#1080;&#1085;&#1077;&#1088;&#1086;&#1074;&#1089;&#1082;&#1086;&#1077;\&#1055;&#1047;&#1047;_&#1040;&#1095;&#1080;&#1085;&#1077;&#1088;&#1086;&#1074;&#1089;&#1082;&#1086;&#1077;%20&#1057;&#1052;&#1054;.doc" TargetMode="External"/><Relationship Id="rId27" Type="http://schemas.openxmlformats.org/officeDocument/2006/relationships/hyperlink" Target="http://docs.cntd.ru/document/1200110514" TargetMode="External"/><Relationship Id="rId30" Type="http://schemas.openxmlformats.org/officeDocument/2006/relationships/hyperlink" Target="http://www.torgi.gov.ru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93BAC-9C8B-4E3A-A5D9-1DFE90096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22</Pages>
  <Words>8388</Words>
  <Characters>47816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Толмачева</dc:creator>
  <cp:keywords/>
  <dc:description/>
  <cp:lastModifiedBy>Ольга Зайцева</cp:lastModifiedBy>
  <cp:revision>7</cp:revision>
  <dcterms:created xsi:type="dcterms:W3CDTF">2023-06-09T10:45:00Z</dcterms:created>
  <dcterms:modified xsi:type="dcterms:W3CDTF">2023-08-25T12:40:00Z</dcterms:modified>
</cp:coreProperties>
</file>