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16" w:rsidRPr="00163516" w:rsidRDefault="00163516" w:rsidP="00163516">
      <w:pPr>
        <w:spacing w:after="450" w:line="420" w:lineRule="atLeast"/>
        <w:textAlignment w:val="baseline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  <w:r w:rsidRPr="00163516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Информационное сообщение</w:t>
      </w:r>
    </w:p>
    <w:p w:rsidR="00163516" w:rsidRPr="00163516" w:rsidRDefault="00163516" w:rsidP="00163516">
      <w:pPr>
        <w:spacing w:line="240" w:lineRule="auto"/>
        <w:textAlignment w:val="baseline"/>
        <w:rPr>
          <w:rFonts w:ascii="RobotoItalic" w:eastAsia="Times New Roman" w:hAnsi="RobotoItalic" w:cs="Arial"/>
          <w:color w:val="8B959F"/>
          <w:sz w:val="17"/>
          <w:szCs w:val="17"/>
          <w:lang w:eastAsia="ru-RU"/>
        </w:rPr>
      </w:pPr>
      <w:r w:rsidRPr="00163516">
        <w:rPr>
          <w:rFonts w:ascii="RobotoItalic" w:eastAsia="Times New Roman" w:hAnsi="RobotoItalic" w:cs="Arial"/>
          <w:color w:val="8B959F"/>
          <w:sz w:val="17"/>
          <w:szCs w:val="17"/>
          <w:lang w:eastAsia="ru-RU"/>
        </w:rPr>
        <w:t>Опубликовано: 07 ноября 2019</w:t>
      </w:r>
    </w:p>
    <w:p w:rsidR="00163516" w:rsidRPr="00163516" w:rsidRDefault="00163516" w:rsidP="00163516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163516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по предложению арендатора - ООО «Агрофирма «Золотая нива» в лице Генерального директора Бусыгина Владимира Анатольевича, действующего на основании Устава, сообщает о проведении общего собрания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26:04:130402:95, площадью 695433 кв. м по адресу установлено относительно ориентира, расположенного за пределами участка. Ориентир с. Раздольное. Участок находится примерно в 6,3 км от ориентира по направлению на юг. Почтовый адрес ориентира: край Ставропольский, р-н </w:t>
      </w:r>
      <w:proofErr w:type="spellStart"/>
      <w:r w:rsidRPr="00163516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Новоалександровский</w:t>
      </w:r>
      <w:proofErr w:type="spellEnd"/>
      <w:r w:rsidRPr="00163516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, со следующей повесткой дня:</w:t>
      </w:r>
    </w:p>
    <w:p w:rsidR="00163516" w:rsidRPr="00163516" w:rsidRDefault="00163516" w:rsidP="0016351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163516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Об избрании счётной комиссии и её численного состава;</w:t>
      </w:r>
    </w:p>
    <w:p w:rsidR="00163516" w:rsidRPr="00163516" w:rsidRDefault="00163516" w:rsidP="0016351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163516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Об избрании председателя собрания;</w:t>
      </w:r>
    </w:p>
    <w:p w:rsidR="00163516" w:rsidRPr="00163516" w:rsidRDefault="00163516" w:rsidP="0016351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163516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Об избрании секретаря собрания;</w:t>
      </w:r>
    </w:p>
    <w:p w:rsidR="00163516" w:rsidRPr="00163516" w:rsidRDefault="00163516" w:rsidP="0016351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163516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Об условиях и заключении договора аренды земельного участка, находящегося в долевой собственности с ООО «Агрофирма «Золотая нива»;</w:t>
      </w:r>
    </w:p>
    <w:p w:rsidR="00163516" w:rsidRPr="00163516" w:rsidRDefault="00163516" w:rsidP="00163516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163516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Об избрании лица, уполномоченного от имени участников долевой собственности без доверенности действовать при согласовании местоположения границ земельного участка, находящегося в долевой собственности, при обращении с заявлением о проведении государственного кадастрового учёта или государственного кадастрового учёта и (или) государственной регистрации прав на недвижимое имущество в отношении участка, находящегося в долевой собственности и образуемых из него земельных участков, а также заключение договора аренды данного земельного участка, дополнительных соглашений к нему или соглашения об установлении частного сервитута в отношении данного земельного участка, а также утверждение объёма и сроков таких полномочий.</w:t>
      </w:r>
    </w:p>
    <w:p w:rsidR="00163516" w:rsidRPr="00163516" w:rsidRDefault="00163516" w:rsidP="00163516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163516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Собрание состоится 21.12.2019 г. в 11.30 часов по московскому времени в здании сельского Дома культуры по адресу: Ставропольский край, </w:t>
      </w:r>
      <w:proofErr w:type="spellStart"/>
      <w:r w:rsidRPr="00163516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Новоалександровский</w:t>
      </w:r>
      <w:proofErr w:type="spellEnd"/>
      <w:r w:rsidRPr="00163516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район, х. Фельдмаршальский, ул. Ленина, дом 164, регистрация участников: с 11.00 до 11.30 часов по московскому времени.</w:t>
      </w:r>
    </w:p>
    <w:p w:rsidR="00163516" w:rsidRPr="00163516" w:rsidRDefault="00163516" w:rsidP="00163516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163516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Для принятия участия в собрании участнику общей долевой собственности необходимо при себе иметь документ удостоверяющий личность (паспорт), и документ, подтверждающий право на земельную долю (свидетельство о государственной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:rsidR="00163516" w:rsidRPr="00163516" w:rsidRDefault="00163516" w:rsidP="00163516">
      <w:pPr>
        <w:spacing w:after="525" w:line="240" w:lineRule="auto"/>
        <w:textAlignment w:val="baseline"/>
        <w:rPr>
          <w:rFonts w:ascii="Arial" w:eastAsia="Times New Roman" w:hAnsi="Arial" w:cs="Arial"/>
          <w:color w:val="262525"/>
          <w:sz w:val="21"/>
          <w:szCs w:val="21"/>
          <w:lang w:eastAsia="ru-RU"/>
        </w:rPr>
      </w:pPr>
      <w:r w:rsidRPr="00163516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С материалами общего собрания участников долевой собственности на земельный участок с кадастровым номером 26:04:130402:95 по вопросам, вынесенным на обсуждение общего собрания, можно ознакомиться с 08.11.2019 г. по 18.12.2019 г. по адресу: Ставропольский край, </w:t>
      </w:r>
      <w:proofErr w:type="spellStart"/>
      <w:r w:rsidRPr="00163516">
        <w:rPr>
          <w:rFonts w:ascii="Arial" w:eastAsia="Times New Roman" w:hAnsi="Arial" w:cs="Arial"/>
          <w:color w:val="262525"/>
          <w:sz w:val="21"/>
          <w:szCs w:val="21"/>
          <w:lang w:eastAsia="ru-RU"/>
        </w:rPr>
        <w:t>Новоалександровский</w:t>
      </w:r>
      <w:proofErr w:type="spellEnd"/>
      <w:r w:rsidRPr="00163516">
        <w:rPr>
          <w:rFonts w:ascii="Arial" w:eastAsia="Times New Roman" w:hAnsi="Arial" w:cs="Arial"/>
          <w:color w:val="262525"/>
          <w:sz w:val="21"/>
          <w:szCs w:val="21"/>
          <w:lang w:eastAsia="ru-RU"/>
        </w:rPr>
        <w:t xml:space="preserve"> район, г. Новоалександровск, ул. Гагарина, 313, с 08.00 до 12.00, с 13.00 до 17.00 часов в рабочие дни ежедневно, кроме выходных.</w:t>
      </w:r>
    </w:p>
    <w:p w:rsidR="005F161E" w:rsidRDefault="005F161E">
      <w:bookmarkStart w:id="0" w:name="_GoBack"/>
      <w:bookmarkEnd w:id="0"/>
    </w:p>
    <w:sectPr w:rsidR="005F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71A2A"/>
    <w:multiLevelType w:val="multilevel"/>
    <w:tmpl w:val="EF86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74"/>
    <w:rsid w:val="00163516"/>
    <w:rsid w:val="001D7174"/>
    <w:rsid w:val="005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9863A-5DAD-4AEB-83B5-1A6AE947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25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Тесленко</dc:creator>
  <cp:keywords/>
  <dc:description/>
  <cp:lastModifiedBy>Оксана Тесленко</cp:lastModifiedBy>
  <cp:revision>2</cp:revision>
  <dcterms:created xsi:type="dcterms:W3CDTF">2023-10-12T08:48:00Z</dcterms:created>
  <dcterms:modified xsi:type="dcterms:W3CDTF">2023-10-12T08:49:00Z</dcterms:modified>
</cp:coreProperties>
</file>