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91395" wp14:editId="65F117E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765282" w:rsidRDefault="00765282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6528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06 июля 2020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765282" w:rsidRDefault="00765282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52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868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земельному участку и объекту капитального строительства, расположенному в границах Новоалександровского городского округа Ставропольского края</w:t>
      </w:r>
    </w:p>
    <w:p w:rsidR="00DA08F5" w:rsidRPr="00FE5A57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комиссии по землепользо</w:t>
      </w:r>
      <w:r w:rsidR="00A86FE5">
        <w:rPr>
          <w:rFonts w:ascii="Times New Roman" w:hAnsi="Times New Roman" w:cs="Times New Roman"/>
          <w:sz w:val="28"/>
          <w:szCs w:val="28"/>
        </w:rPr>
        <w:t xml:space="preserve">ванию и застройке администрации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gramEnd"/>
      <w:r w:rsidR="00A86FE5" w:rsidRPr="00A86FE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970811">
        <w:rPr>
          <w:rFonts w:ascii="Times New Roman" w:hAnsi="Times New Roman" w:cs="Times New Roman"/>
          <w:sz w:val="28"/>
          <w:szCs w:val="28"/>
        </w:rPr>
        <w:t>30 июня 2020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226858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811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>1.1. земельному участку из земель населенных пунктов, площадью 42 кв. м., объекты придорожного сервиса с кадастровым номером 26:04:171030:69, расположенному по адресу: Российская Федерация, Ставропольский край, Новоалександровский городской округ, город Новоалександровск, улица Победы</w:t>
      </w:r>
      <w:r>
        <w:rPr>
          <w:sz w:val="28"/>
          <w:szCs w:val="28"/>
        </w:rPr>
        <w:t>, 86/3, – «магазины» (код 4.4);</w:t>
      </w:r>
    </w:p>
    <w:p w:rsidR="00970811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lastRenderedPageBreak/>
        <w:t>1.2. земельному участку из земель населенных пунктов, площадью 220 кв. м., для ведения личного подсобного хозяйства с кадастровым номером 26:04:120802:3330, расположенному по адресу: Российская Федерация, Ставропольский край, Новоалександровский городской округ, станица Григорополисская, улица Орджоникидзе, 45/1, – «магазины» (код 4.4), «бытовое обслуживание» (код 3.3</w:t>
      </w:r>
      <w:r>
        <w:rPr>
          <w:sz w:val="28"/>
          <w:szCs w:val="28"/>
        </w:rPr>
        <w:t>);</w:t>
      </w:r>
    </w:p>
    <w:p w:rsidR="00970811" w:rsidRPr="00555745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>1.3. земельному участку из земель населенных пунктов, площадью 300 кв. м., для ведения личного подсобного хозяйства с кадастровым номером 26:04:170526:123, расположенному по адресу: Российская Федерация, Ставропольский край, Новоалександровский городской округ, город Новоалександровск, улица Победы, 90б, – «магазины» (код 4.4)</w:t>
      </w:r>
      <w:r>
        <w:rPr>
          <w:sz w:val="28"/>
          <w:szCs w:val="28"/>
        </w:rPr>
        <w:t>;</w:t>
      </w:r>
    </w:p>
    <w:p w:rsidR="00970811" w:rsidRPr="00555745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 xml:space="preserve">1.4. земельному участку из земель населенных пунктов, площадью 132 кв. м., для общественно – деловых целей с кадастровым номером 26:04:120802:1132, расположенному по адресу: Ставропольский край, Новоалександровский район, станица Григорополисская, улица Ленина, </w:t>
      </w:r>
      <w:r>
        <w:rPr>
          <w:sz w:val="28"/>
          <w:szCs w:val="28"/>
        </w:rPr>
        <w:t>дом 10, – «магазины» (код 4.4);</w:t>
      </w:r>
    </w:p>
    <w:p w:rsidR="00970811" w:rsidRPr="00555745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>1.5. земельному участку из земель населенных пунктов, площадью 170 кв. м., для производственных целей с кадастровым номером 26:04:130206:1271, расположенному по адресу: Российская Федерация, Ставропольский край, Новоалександровский городской округ, село Раздольное, улица Ленина,</w:t>
      </w:r>
      <w:r>
        <w:rPr>
          <w:sz w:val="28"/>
          <w:szCs w:val="28"/>
        </w:rPr>
        <w:t xml:space="preserve"> 117/1, – «магазины» (код 4.4);</w:t>
      </w:r>
    </w:p>
    <w:p w:rsidR="00970811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 xml:space="preserve">1.6. земельному участку из земель населенных пунктов, площадью 520 кв. м., для ведения личного подсобного хозяйства с кадастровым номером 26:04:171029:39, расположенному по адресу: Ставропольский край, Новоалександровский район, город Новоалександровск, улица Гагарина, </w:t>
      </w:r>
      <w:r>
        <w:rPr>
          <w:sz w:val="28"/>
          <w:szCs w:val="28"/>
        </w:rPr>
        <w:t>дом 409, – «магазины» (код 4.4).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353AD" w:rsidRPr="00970811" w:rsidRDefault="00B8687C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sectPr w:rsidR="003353AD" w:rsidRPr="00970811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5282"/>
    <w:rsid w:val="0076789C"/>
    <w:rsid w:val="007B3CED"/>
    <w:rsid w:val="007E3AEF"/>
    <w:rsid w:val="0085362F"/>
    <w:rsid w:val="00853AB9"/>
    <w:rsid w:val="008B2886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A34CC"/>
    <w:rsid w:val="00EF3C95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54</cp:revision>
  <cp:lastPrinted>2020-06-30T11:19:00Z</cp:lastPrinted>
  <dcterms:created xsi:type="dcterms:W3CDTF">2017-12-26T04:42:00Z</dcterms:created>
  <dcterms:modified xsi:type="dcterms:W3CDTF">2020-07-07T09:25:00Z</dcterms:modified>
</cp:coreProperties>
</file>