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E9" w:rsidRPr="00F43CE9" w:rsidRDefault="00F43CE9" w:rsidP="000A3B3D">
      <w:pPr>
        <w:spacing w:line="240" w:lineRule="exact"/>
        <w:ind w:left="4962"/>
        <w:textAlignment w:val="baseline"/>
        <w:rPr>
          <w:bCs/>
          <w:sz w:val="28"/>
          <w:szCs w:val="28"/>
        </w:rPr>
      </w:pPr>
      <w:r w:rsidRPr="00F43CE9">
        <w:rPr>
          <w:bCs/>
          <w:sz w:val="28"/>
          <w:szCs w:val="28"/>
        </w:rPr>
        <w:t>Приложение 1</w:t>
      </w:r>
    </w:p>
    <w:p w:rsidR="00F43CE9" w:rsidRPr="00F43CE9" w:rsidRDefault="00F43CE9" w:rsidP="000A3B3D">
      <w:pPr>
        <w:spacing w:line="240" w:lineRule="exact"/>
        <w:ind w:left="4962"/>
        <w:textAlignment w:val="baseline"/>
        <w:rPr>
          <w:bCs/>
          <w:sz w:val="28"/>
          <w:szCs w:val="28"/>
        </w:rPr>
      </w:pPr>
      <w:r w:rsidRPr="00F43CE9">
        <w:rPr>
          <w:bCs/>
          <w:sz w:val="28"/>
          <w:szCs w:val="28"/>
        </w:rPr>
        <w:t xml:space="preserve">к проекту муниципальной программы </w:t>
      </w:r>
    </w:p>
    <w:p w:rsidR="00F43CE9" w:rsidRPr="00F43CE9" w:rsidRDefault="00AD16FD" w:rsidP="000A3B3D">
      <w:pPr>
        <w:spacing w:line="240" w:lineRule="exact"/>
        <w:ind w:left="4962"/>
        <w:rPr>
          <w:bCs/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645A58">
        <w:rPr>
          <w:sz w:val="28"/>
          <w:szCs w:val="28"/>
        </w:rPr>
        <w:t xml:space="preserve"> городского округа» на 2018-2022</w:t>
      </w:r>
      <w:r>
        <w:rPr>
          <w:sz w:val="28"/>
          <w:szCs w:val="28"/>
        </w:rPr>
        <w:t xml:space="preserve"> годы</w:t>
      </w:r>
    </w:p>
    <w:p w:rsidR="00F43CE9" w:rsidRPr="00F43CE9" w:rsidRDefault="00F43CE9" w:rsidP="00F43CE9">
      <w:pPr>
        <w:tabs>
          <w:tab w:val="left" w:pos="0"/>
        </w:tabs>
        <w:ind w:firstLine="4962"/>
        <w:rPr>
          <w:b/>
          <w:color w:val="FFFFFF"/>
        </w:rPr>
      </w:pPr>
    </w:p>
    <w:p w:rsidR="00F43CE9" w:rsidRPr="00F43CE9" w:rsidRDefault="00F43CE9" w:rsidP="00FC6F7D">
      <w:pPr>
        <w:jc w:val="center"/>
        <w:rPr>
          <w:rFonts w:eastAsia="Calibri"/>
          <w:sz w:val="28"/>
          <w:szCs w:val="28"/>
          <w:lang w:eastAsia="en-US"/>
        </w:rPr>
      </w:pPr>
      <w:r w:rsidRPr="00F43CE9">
        <w:rPr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форма участия (финансовое и (или) трудовое) граждан в выполнении указанных работ (в случае принятия субъектом Российской Федерации решения о таком участии) </w:t>
      </w:r>
      <w:r w:rsidRPr="00F43CE9">
        <w:rPr>
          <w:rFonts w:eastAsia="Calibri"/>
          <w:sz w:val="28"/>
          <w:szCs w:val="28"/>
          <w:lang w:eastAsia="en-US"/>
        </w:rPr>
        <w:t>в</w:t>
      </w:r>
      <w:r w:rsidRPr="00F43CE9">
        <w:rPr>
          <w:rFonts w:eastAsia="Calibri"/>
          <w:sz w:val="28"/>
          <w:szCs w:val="28"/>
        </w:rPr>
        <w:t xml:space="preserve"> рамках муниципальной программы </w:t>
      </w:r>
      <w:r w:rsidR="00AD16FD">
        <w:rPr>
          <w:sz w:val="28"/>
          <w:szCs w:val="28"/>
        </w:rPr>
        <w:t>«Формирование современной городской среды на территории Новоалександровского город</w:t>
      </w:r>
      <w:r w:rsidR="00645A58">
        <w:rPr>
          <w:sz w:val="28"/>
          <w:szCs w:val="28"/>
        </w:rPr>
        <w:t>ского округа» на 2018-2022</w:t>
      </w:r>
      <w:r w:rsidR="00AD16FD">
        <w:rPr>
          <w:sz w:val="28"/>
          <w:szCs w:val="28"/>
        </w:rPr>
        <w:t xml:space="preserve"> годы</w:t>
      </w:r>
    </w:p>
    <w:p w:rsidR="00F43CE9" w:rsidRPr="00F43CE9" w:rsidRDefault="00F43CE9" w:rsidP="00F43CE9">
      <w:pPr>
        <w:jc w:val="center"/>
        <w:rPr>
          <w:bCs/>
          <w:sz w:val="28"/>
          <w:szCs w:val="28"/>
        </w:rPr>
      </w:pPr>
    </w:p>
    <w:p w:rsidR="00F43CE9" w:rsidRPr="00F43CE9" w:rsidRDefault="00F43CE9" w:rsidP="00F43CE9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F43CE9">
        <w:rPr>
          <w:sz w:val="28"/>
          <w:szCs w:val="28"/>
        </w:rPr>
        <w:t>Общие положения</w:t>
      </w:r>
    </w:p>
    <w:p w:rsidR="00F43CE9" w:rsidRPr="00F43CE9" w:rsidRDefault="00F43CE9" w:rsidP="00F43CE9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AD16FD">
        <w:rPr>
          <w:sz w:val="28"/>
          <w:szCs w:val="28"/>
        </w:rPr>
        <w:t>Новоалександровского</w:t>
      </w:r>
      <w:r w:rsidR="00FC6F7D" w:rsidRPr="00FC6F7D">
        <w:rPr>
          <w:sz w:val="28"/>
          <w:szCs w:val="28"/>
        </w:rPr>
        <w:t xml:space="preserve"> городского округа</w:t>
      </w:r>
      <w:r w:rsidR="00FC6F7D" w:rsidRPr="00F43CE9">
        <w:rPr>
          <w:rFonts w:eastAsia="Calibri"/>
          <w:sz w:val="28"/>
          <w:szCs w:val="28"/>
          <w:lang w:eastAsia="en-US"/>
        </w:rPr>
        <w:t xml:space="preserve"> </w:t>
      </w:r>
      <w:r w:rsidRPr="00F43CE9">
        <w:rPr>
          <w:sz w:val="28"/>
          <w:szCs w:val="28"/>
        </w:rPr>
        <w:t xml:space="preserve">Ставропольского края,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 </w:t>
      </w:r>
    </w:p>
    <w:p w:rsidR="00F43CE9" w:rsidRPr="00F43CE9" w:rsidRDefault="00F43CE9" w:rsidP="00F43CE9">
      <w:pPr>
        <w:numPr>
          <w:ilvl w:val="1"/>
          <w:numId w:val="3"/>
        </w:numPr>
        <w:autoSpaceDE w:val="0"/>
        <w:autoSpaceDN w:val="0"/>
        <w:adjustRightInd w:val="0"/>
        <w:ind w:left="14" w:firstLine="742"/>
        <w:jc w:val="both"/>
        <w:rPr>
          <w:sz w:val="28"/>
          <w:szCs w:val="28"/>
        </w:rPr>
      </w:pPr>
      <w:r w:rsidRPr="00F43CE9">
        <w:rPr>
          <w:color w:val="000000"/>
          <w:sz w:val="28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43CE9">
        <w:rPr>
          <w:sz w:val="28"/>
          <w:szCs w:val="28"/>
        </w:rPr>
        <w:t>не требующая специальной квалификации</w:t>
      </w:r>
      <w:r w:rsidRPr="00F43CE9">
        <w:rPr>
          <w:color w:val="000000"/>
          <w:sz w:val="28"/>
          <w:szCs w:val="28"/>
          <w:shd w:val="clear" w:color="auto" w:fill="FFFFFF"/>
        </w:rPr>
        <w:t xml:space="preserve"> и организуемая в качестве:</w:t>
      </w:r>
    </w:p>
    <w:p w:rsidR="00F43CE9" w:rsidRPr="00F43CE9" w:rsidRDefault="00F43CE9" w:rsidP="00F43CE9">
      <w:pPr>
        <w:autoSpaceDE w:val="0"/>
        <w:autoSpaceDN w:val="0"/>
        <w:adjustRightInd w:val="0"/>
        <w:ind w:left="14" w:firstLine="706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трудового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Ставропольского края принято решение о таком участии;</w:t>
      </w:r>
    </w:p>
    <w:p w:rsidR="00F43CE9" w:rsidRPr="00F43CE9" w:rsidRDefault="00F43CE9" w:rsidP="00F43C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F43CE9" w:rsidRPr="00F43CE9" w:rsidRDefault="00F43CE9" w:rsidP="00F43CE9">
      <w:pPr>
        <w:numPr>
          <w:ilvl w:val="1"/>
          <w:numId w:val="3"/>
        </w:numPr>
        <w:autoSpaceDE w:val="0"/>
        <w:autoSpaceDN w:val="0"/>
        <w:adjustRightInd w:val="0"/>
        <w:ind w:left="14" w:firstLine="756"/>
        <w:jc w:val="both"/>
        <w:rPr>
          <w:sz w:val="28"/>
          <w:szCs w:val="28"/>
        </w:rPr>
      </w:pPr>
      <w:r w:rsidRPr="00F43CE9">
        <w:rPr>
          <w:color w:val="000000"/>
          <w:sz w:val="28"/>
          <w:szCs w:val="28"/>
          <w:shd w:val="clear" w:color="auto" w:fill="FFFFFF"/>
        </w:rPr>
        <w:t xml:space="preserve">Под формой </w:t>
      </w:r>
      <w:r w:rsidRPr="00F43CE9">
        <w:rPr>
          <w:sz w:val="28"/>
          <w:szCs w:val="28"/>
        </w:rPr>
        <w:t>финансового</w:t>
      </w:r>
      <w:r w:rsidRPr="00F43CE9">
        <w:rPr>
          <w:color w:val="000000"/>
          <w:sz w:val="28"/>
          <w:szCs w:val="28"/>
          <w:shd w:val="clear" w:color="auto" w:fill="FFFFFF"/>
        </w:rPr>
        <w:t xml:space="preserve"> участия понимается:</w:t>
      </w:r>
    </w:p>
    <w:p w:rsidR="00F43CE9" w:rsidRPr="00F43CE9" w:rsidRDefault="00F43CE9" w:rsidP="00F43CE9">
      <w:pPr>
        <w:autoSpaceDE w:val="0"/>
        <w:autoSpaceDN w:val="0"/>
        <w:adjustRightInd w:val="0"/>
        <w:ind w:left="28" w:firstLine="728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- </w:t>
      </w:r>
      <w:r w:rsidRPr="00F43CE9">
        <w:rPr>
          <w:color w:val="000000"/>
          <w:sz w:val="28"/>
          <w:szCs w:val="28"/>
          <w:shd w:val="clear" w:color="auto" w:fill="FFFFFF"/>
        </w:rPr>
        <w:t>доля финансового участия</w:t>
      </w:r>
      <w:r w:rsidRPr="00F43CE9">
        <w:rPr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если органом государственной власти Ставропольского края принято решение о таком участии;</w:t>
      </w:r>
    </w:p>
    <w:p w:rsidR="00F43CE9" w:rsidRPr="00F43CE9" w:rsidRDefault="00F43CE9" w:rsidP="00F43C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-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органом государственной власти Ставропольского края. </w:t>
      </w:r>
    </w:p>
    <w:p w:rsidR="00F43CE9" w:rsidRPr="00F43CE9" w:rsidRDefault="00F43CE9" w:rsidP="00F43C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3CE9" w:rsidRPr="00F43CE9" w:rsidRDefault="00F43CE9" w:rsidP="00F43CE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F43CE9">
        <w:rPr>
          <w:color w:val="000000"/>
          <w:sz w:val="28"/>
          <w:szCs w:val="28"/>
          <w:shd w:val="clear" w:color="auto" w:fill="FFFFFF"/>
        </w:rPr>
        <w:t>Порядок трудового и (или) финансового участия заинтересованных лиц</w:t>
      </w:r>
    </w:p>
    <w:p w:rsidR="00F43CE9" w:rsidRPr="00F43CE9" w:rsidRDefault="00F43CE9" w:rsidP="00F43CE9">
      <w:pPr>
        <w:autoSpaceDE w:val="0"/>
        <w:autoSpaceDN w:val="0"/>
        <w:adjustRightInd w:val="0"/>
        <w:ind w:left="770"/>
        <w:jc w:val="center"/>
        <w:rPr>
          <w:sz w:val="28"/>
          <w:szCs w:val="28"/>
        </w:rPr>
      </w:pPr>
    </w:p>
    <w:p w:rsidR="00F43CE9" w:rsidRPr="00F43CE9" w:rsidRDefault="00F43CE9" w:rsidP="00F43CE9">
      <w:pPr>
        <w:shd w:val="clear" w:color="auto" w:fill="FFFFFF"/>
        <w:spacing w:after="100" w:afterAutospacing="1"/>
        <w:ind w:firstLine="504"/>
        <w:jc w:val="both"/>
        <w:rPr>
          <w:sz w:val="28"/>
          <w:szCs w:val="28"/>
        </w:rPr>
      </w:pPr>
      <w:r w:rsidRPr="00F43CE9">
        <w:rPr>
          <w:color w:val="000000"/>
          <w:sz w:val="28"/>
          <w:szCs w:val="28"/>
        </w:rPr>
        <w:t xml:space="preserve">2.1. Условия и порядок финансового участия </w:t>
      </w:r>
      <w:r w:rsidRPr="00F43CE9">
        <w:rPr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F43CE9">
        <w:rPr>
          <w:color w:val="000000"/>
          <w:sz w:val="28"/>
          <w:szCs w:val="28"/>
        </w:rPr>
        <w:t xml:space="preserve"> определяется </w:t>
      </w:r>
      <w:r w:rsidRPr="00F43CE9">
        <w:rPr>
          <w:sz w:val="28"/>
          <w:szCs w:val="28"/>
        </w:rPr>
        <w:t>органом государственной власти Ставропольского края.</w:t>
      </w:r>
    </w:p>
    <w:p w:rsidR="00F43CE9" w:rsidRPr="00F43CE9" w:rsidRDefault="00F43CE9" w:rsidP="00F43CE9">
      <w:pPr>
        <w:shd w:val="clear" w:color="auto" w:fill="FFFFFF"/>
        <w:spacing w:after="100" w:afterAutospacing="1"/>
        <w:ind w:firstLine="504"/>
        <w:jc w:val="both"/>
        <w:rPr>
          <w:sz w:val="28"/>
          <w:szCs w:val="28"/>
        </w:rPr>
      </w:pPr>
      <w:r w:rsidRPr="00F43CE9">
        <w:rPr>
          <w:color w:val="000000"/>
          <w:sz w:val="28"/>
          <w:szCs w:val="28"/>
        </w:rPr>
        <w:t xml:space="preserve">2.2. Условия и порядок трудового участия </w:t>
      </w:r>
      <w:r w:rsidRPr="00F43CE9">
        <w:rPr>
          <w:sz w:val="28"/>
          <w:szCs w:val="28"/>
        </w:rPr>
        <w:t>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F43CE9">
        <w:rPr>
          <w:color w:val="000000"/>
          <w:sz w:val="28"/>
          <w:szCs w:val="28"/>
        </w:rPr>
        <w:t xml:space="preserve"> определяется </w:t>
      </w:r>
      <w:r w:rsidRPr="00F43CE9">
        <w:rPr>
          <w:sz w:val="28"/>
          <w:szCs w:val="28"/>
        </w:rPr>
        <w:t>органом государственной власти Ставропольского края.</w:t>
      </w:r>
    </w:p>
    <w:p w:rsidR="00F43CE9" w:rsidRPr="00F43CE9" w:rsidRDefault="00F43CE9" w:rsidP="00F43CE9">
      <w:pPr>
        <w:shd w:val="clear" w:color="auto" w:fill="FFFFFF"/>
        <w:spacing w:after="100" w:afterAutospacing="1"/>
        <w:ind w:firstLine="504"/>
        <w:jc w:val="both"/>
        <w:rPr>
          <w:sz w:val="28"/>
          <w:szCs w:val="28"/>
        </w:rPr>
      </w:pPr>
      <w:r w:rsidRPr="00F43CE9">
        <w:rPr>
          <w:color w:val="000000"/>
          <w:sz w:val="28"/>
          <w:szCs w:val="28"/>
        </w:rPr>
        <w:t>Организация трудового участия, в случае принятия соответствующего решения</w:t>
      </w:r>
      <w:r w:rsidRPr="00F43CE9">
        <w:rPr>
          <w:sz w:val="28"/>
          <w:szCs w:val="28"/>
        </w:rPr>
        <w:t xml:space="preserve"> органом государственной власти Ставропольского края,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F43CE9" w:rsidRPr="00F43CE9" w:rsidRDefault="00F43CE9" w:rsidP="00F43CE9">
      <w:pPr>
        <w:shd w:val="clear" w:color="auto" w:fill="FFFFFF"/>
        <w:spacing w:after="100" w:afterAutospacing="1"/>
        <w:ind w:firstLine="504"/>
        <w:jc w:val="both"/>
        <w:rPr>
          <w:color w:val="000000"/>
          <w:sz w:val="28"/>
          <w:szCs w:val="28"/>
        </w:rPr>
      </w:pPr>
      <w:r w:rsidRPr="00F43CE9">
        <w:rPr>
          <w:color w:val="000000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F43CE9" w:rsidRPr="00F43CE9" w:rsidRDefault="00F43CE9" w:rsidP="00F43CE9">
      <w:pPr>
        <w:autoSpaceDE w:val="0"/>
        <w:autoSpaceDN w:val="0"/>
        <w:adjustRightInd w:val="0"/>
        <w:ind w:left="742"/>
        <w:jc w:val="both"/>
        <w:rPr>
          <w:sz w:val="28"/>
          <w:szCs w:val="28"/>
          <w:highlight w:val="yellow"/>
        </w:rPr>
      </w:pPr>
    </w:p>
    <w:p w:rsidR="00F43CE9" w:rsidRPr="00F43CE9" w:rsidRDefault="00F43CE9" w:rsidP="00F43CE9">
      <w:pPr>
        <w:numPr>
          <w:ilvl w:val="0"/>
          <w:numId w:val="3"/>
        </w:numPr>
        <w:jc w:val="center"/>
        <w:rPr>
          <w:sz w:val="28"/>
          <w:szCs w:val="28"/>
        </w:rPr>
      </w:pPr>
      <w:r w:rsidRPr="00F43CE9">
        <w:rPr>
          <w:sz w:val="28"/>
          <w:szCs w:val="28"/>
        </w:rPr>
        <w:t xml:space="preserve">Условия аккумулирования и расходования средств </w:t>
      </w:r>
    </w:p>
    <w:p w:rsidR="00F43CE9" w:rsidRPr="00F43CE9" w:rsidRDefault="00F43CE9" w:rsidP="00F43CE9">
      <w:pPr>
        <w:autoSpaceDE w:val="0"/>
        <w:autoSpaceDN w:val="0"/>
        <w:adjustRightInd w:val="0"/>
        <w:ind w:left="742"/>
        <w:jc w:val="both"/>
        <w:rPr>
          <w:sz w:val="28"/>
          <w:szCs w:val="28"/>
        </w:rPr>
      </w:pPr>
    </w:p>
    <w:p w:rsid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3.1. В случае, если государственной программой Ставропольского края формирования городской среды</w:t>
      </w:r>
      <w:r w:rsidR="004F65BB">
        <w:rPr>
          <w:sz w:val="28"/>
          <w:szCs w:val="28"/>
        </w:rPr>
        <w:t>,</w:t>
      </w:r>
      <w:r w:rsidRPr="00F43CE9">
        <w:rPr>
          <w:sz w:val="28"/>
          <w:szCs w:val="28"/>
        </w:rPr>
        <w:t xml:space="preserve">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</w:t>
      </w:r>
      <w:r w:rsidRPr="00E51AD7">
        <w:rPr>
          <w:sz w:val="28"/>
          <w:szCs w:val="28"/>
        </w:rPr>
        <w:t xml:space="preserve">заинтересованных лиц перечисляются на лицевой счет, открытый </w:t>
      </w:r>
      <w:r w:rsidR="00146BBA">
        <w:rPr>
          <w:sz w:val="28"/>
          <w:szCs w:val="28"/>
        </w:rPr>
        <w:t>муниципальному казенному учреждению</w:t>
      </w:r>
      <w:r w:rsidR="00146BBA" w:rsidRPr="00146BBA">
        <w:rPr>
          <w:sz w:val="28"/>
          <w:szCs w:val="28"/>
        </w:rPr>
        <w:t xml:space="preserve"> "Учетный центр Новоалександровского муниципального района Ставропольского края"</w:t>
      </w:r>
      <w:r w:rsidR="00146BBA">
        <w:rPr>
          <w:sz w:val="28"/>
          <w:szCs w:val="28"/>
        </w:rPr>
        <w:t xml:space="preserve"> </w:t>
      </w:r>
      <w:r w:rsidRPr="00E51AD7">
        <w:rPr>
          <w:sz w:val="28"/>
          <w:szCs w:val="28"/>
        </w:rPr>
        <w:t>для учета средств, поступающих от оказания платных услуг и иной, приносящей доход деятельности.</w:t>
      </w:r>
    </w:p>
    <w:p w:rsidR="00146BBA" w:rsidRDefault="00146BBA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1AD7">
        <w:rPr>
          <w:sz w:val="28"/>
          <w:szCs w:val="28"/>
        </w:rPr>
        <w:t xml:space="preserve">3.2. </w:t>
      </w:r>
      <w:r w:rsidR="00146BBA">
        <w:rPr>
          <w:sz w:val="28"/>
          <w:szCs w:val="28"/>
        </w:rPr>
        <w:t>Муниципальное казенное учреждение</w:t>
      </w:r>
      <w:r w:rsidR="00146BBA" w:rsidRPr="00146BBA">
        <w:rPr>
          <w:sz w:val="28"/>
          <w:szCs w:val="28"/>
        </w:rPr>
        <w:t xml:space="preserve"> "Учетный центр Новоалександровского муниципального района Ставропольского края</w:t>
      </w:r>
      <w:r w:rsidR="000A3B3D" w:rsidRPr="00146BBA">
        <w:rPr>
          <w:sz w:val="28"/>
          <w:szCs w:val="28"/>
        </w:rPr>
        <w:t>» заключает</w:t>
      </w:r>
      <w:r w:rsidRPr="00E51AD7">
        <w:rPr>
          <w:sz w:val="28"/>
          <w:szCs w:val="28"/>
        </w:rPr>
        <w:t xml:space="preserve"> соглашения с заинтересованными лицами, принявшими решение</w:t>
      </w:r>
      <w:r w:rsidRPr="00F43CE9">
        <w:rPr>
          <w:sz w:val="28"/>
          <w:szCs w:val="28"/>
        </w:rPr>
        <w:t xml:space="preserve">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3.4. </w:t>
      </w:r>
      <w:r w:rsidR="00146BBA">
        <w:rPr>
          <w:sz w:val="28"/>
          <w:szCs w:val="28"/>
        </w:rPr>
        <w:t>Муниципальное казенное учреждение "Учетный центр Новоалександровского муниципального района Ставропольского края» обеспечивает</w:t>
      </w:r>
      <w:r w:rsidRPr="00F43CE9">
        <w:rPr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43CE9">
        <w:rPr>
          <w:sz w:val="28"/>
          <w:szCs w:val="28"/>
        </w:rPr>
        <w:t xml:space="preserve">3.5. </w:t>
      </w:r>
      <w:r w:rsidR="00146BBA">
        <w:rPr>
          <w:sz w:val="28"/>
          <w:szCs w:val="28"/>
        </w:rPr>
        <w:t>Муниципальное казенное учреждение "Учетный центр Новоалександровского муниципального района Ставропольского края"</w:t>
      </w:r>
      <w:r w:rsidR="00E51AD7" w:rsidRPr="00E51AD7">
        <w:rPr>
          <w:sz w:val="28"/>
          <w:szCs w:val="28"/>
        </w:rPr>
        <w:t xml:space="preserve"> </w:t>
      </w:r>
      <w:r w:rsidRPr="00F43CE9">
        <w:rPr>
          <w:sz w:val="28"/>
          <w:szCs w:val="28"/>
        </w:rPr>
        <w:t>обеспечивает ежемесячное опубликование на официальном сайте в информационно-телекоммуникационной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F43CE9" w:rsidRPr="00F43CE9" w:rsidRDefault="000A3B3D" w:rsidP="00F43C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Муниципальное казенное учреждение "Учетный центр Новоалександровского муниципального района Ставропольского края"  </w:t>
      </w:r>
      <w:r w:rsidR="00E51AD7" w:rsidRPr="00E51AD7">
        <w:rPr>
          <w:sz w:val="28"/>
          <w:szCs w:val="28"/>
        </w:rPr>
        <w:t xml:space="preserve"> </w:t>
      </w:r>
      <w:r w:rsidR="00F43CE9" w:rsidRPr="00F43CE9">
        <w:rPr>
          <w:sz w:val="28"/>
          <w:szCs w:val="28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3.6. Расходование аккумулированных денежных средств заинтересованных лиц осуществляется </w:t>
      </w:r>
      <w:r w:rsidR="00E51AD7">
        <w:rPr>
          <w:sz w:val="28"/>
          <w:szCs w:val="28"/>
        </w:rPr>
        <w:t>муниципальным</w:t>
      </w:r>
      <w:r w:rsidR="000A3B3D">
        <w:rPr>
          <w:sz w:val="28"/>
          <w:szCs w:val="28"/>
        </w:rPr>
        <w:t xml:space="preserve"> учреждением "Учетный центр Новоалександровского муниципального района Ставропольского края» на</w:t>
      </w:r>
      <w:r w:rsidRPr="00F43CE9">
        <w:rPr>
          <w:sz w:val="28"/>
          <w:szCs w:val="28"/>
        </w:rPr>
        <w:t>: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финансирование минимального перечня работ по благоустройству дворовых территорий проектов, включенного в дизайн-проект благоустройства дворовой территории (в случае, если государственной программой Ставропольского края формирования городской среды будет предусмотрено финансовое участие заинтересованных лиц в выполнении минимального, дополнительного перечней работ).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 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CE9" w:rsidRPr="00F43CE9" w:rsidRDefault="00F43CE9" w:rsidP="00F43CE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43CE9">
        <w:rPr>
          <w:sz w:val="28"/>
          <w:szCs w:val="28"/>
        </w:rPr>
        <w:t>Контроль за соблюдением условий порядка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4.1. Контроль за расходованием аккумулированных денежных средств заинтересованных лиц осуществляется </w:t>
      </w:r>
      <w:r w:rsidR="004F65BB">
        <w:rPr>
          <w:sz w:val="28"/>
          <w:szCs w:val="28"/>
        </w:rPr>
        <w:t xml:space="preserve">администрацией Новоалександровского городского округа Ставропольского края и </w:t>
      </w:r>
      <w:r w:rsidRPr="00F43CE9">
        <w:rPr>
          <w:sz w:val="28"/>
          <w:szCs w:val="28"/>
        </w:rPr>
        <w:t xml:space="preserve">общественной комиссией для </w:t>
      </w:r>
      <w:r w:rsidR="004F65BB">
        <w:rPr>
          <w:sz w:val="28"/>
          <w:szCs w:val="28"/>
        </w:rPr>
        <w:t>организации обсуждения</w:t>
      </w:r>
      <w:r w:rsidRPr="00F43CE9">
        <w:rPr>
          <w:sz w:val="28"/>
          <w:szCs w:val="28"/>
        </w:rPr>
        <w:t xml:space="preserve"> проведения оценки предложений заинтересованных лиц, </w:t>
      </w:r>
      <w:r w:rsidR="000E75EC">
        <w:rPr>
          <w:sz w:val="28"/>
          <w:szCs w:val="28"/>
        </w:rPr>
        <w:t>о включении в муниципальную программу</w:t>
      </w:r>
      <w:r w:rsidRPr="00F43CE9">
        <w:rPr>
          <w:sz w:val="28"/>
          <w:szCs w:val="28"/>
        </w:rPr>
        <w:t xml:space="preserve"> </w:t>
      </w:r>
      <w:r w:rsidR="000A3B3D">
        <w:rPr>
          <w:sz w:val="28"/>
          <w:szCs w:val="28"/>
        </w:rPr>
        <w:t>«Формирование современной городской среды на территории Новоалександровского городского округа» на 2018-202</w:t>
      </w:r>
      <w:r w:rsidR="00645A58">
        <w:rPr>
          <w:sz w:val="28"/>
          <w:szCs w:val="28"/>
        </w:rPr>
        <w:t>2</w:t>
      </w:r>
      <w:bookmarkStart w:id="0" w:name="_GoBack"/>
      <w:bookmarkEnd w:id="0"/>
      <w:r w:rsidR="000A3B3D">
        <w:rPr>
          <w:sz w:val="28"/>
          <w:szCs w:val="28"/>
        </w:rPr>
        <w:t xml:space="preserve"> годы,</w:t>
      </w:r>
      <w:r w:rsidRPr="00F43CE9">
        <w:rPr>
          <w:sz w:val="28"/>
          <w:szCs w:val="28"/>
        </w:rPr>
        <w:t xml:space="preserve"> в соответствии с бюджетным законодательством.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 xml:space="preserve">4.2.  </w:t>
      </w:r>
      <w:r w:rsidR="000A3B3D">
        <w:rPr>
          <w:sz w:val="28"/>
          <w:szCs w:val="28"/>
        </w:rPr>
        <w:t xml:space="preserve">Муниципальное казенное учреждение "Учетный центр Новоалександровского муниципального района Ставропольского края"  </w:t>
      </w:r>
      <w:r w:rsidR="000E75EC" w:rsidRPr="00E51AD7">
        <w:rPr>
          <w:sz w:val="28"/>
          <w:szCs w:val="28"/>
        </w:rPr>
        <w:t xml:space="preserve"> </w:t>
      </w:r>
      <w:r w:rsidRPr="00F43CE9">
        <w:rPr>
          <w:sz w:val="28"/>
          <w:szCs w:val="28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возникновения обстоятельств непреодолимой силы;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CE9">
        <w:rPr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CE9" w:rsidRPr="00F43CE9" w:rsidRDefault="00F43CE9" w:rsidP="00F43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CE9" w:rsidRPr="00F43CE9" w:rsidRDefault="00F43CE9" w:rsidP="00F43CE9">
      <w:pPr>
        <w:tabs>
          <w:tab w:val="left" w:pos="360"/>
        </w:tabs>
        <w:ind w:left="1080" w:right="-1185" w:hanging="1066"/>
        <w:jc w:val="both"/>
        <w:rPr>
          <w:sz w:val="28"/>
          <w:szCs w:val="28"/>
        </w:rPr>
      </w:pPr>
    </w:p>
    <w:p w:rsidR="009411EC" w:rsidRDefault="009411EC" w:rsidP="00F43CE9">
      <w:pPr>
        <w:jc w:val="center"/>
      </w:pPr>
    </w:p>
    <w:sectPr w:rsidR="009411EC" w:rsidSect="00B4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258"/>
    <w:rsid w:val="000058E5"/>
    <w:rsid w:val="000A3B3D"/>
    <w:rsid w:val="000E75EC"/>
    <w:rsid w:val="00146BBA"/>
    <w:rsid w:val="0022269E"/>
    <w:rsid w:val="002B560A"/>
    <w:rsid w:val="00380BC6"/>
    <w:rsid w:val="003E2C04"/>
    <w:rsid w:val="00421E6C"/>
    <w:rsid w:val="00445C5F"/>
    <w:rsid w:val="004F65BB"/>
    <w:rsid w:val="00573030"/>
    <w:rsid w:val="005E198C"/>
    <w:rsid w:val="00645A58"/>
    <w:rsid w:val="006831CA"/>
    <w:rsid w:val="006A38A5"/>
    <w:rsid w:val="006F1814"/>
    <w:rsid w:val="0074345E"/>
    <w:rsid w:val="007B40DF"/>
    <w:rsid w:val="009411EC"/>
    <w:rsid w:val="009B0D6A"/>
    <w:rsid w:val="00A53056"/>
    <w:rsid w:val="00AD16FD"/>
    <w:rsid w:val="00AD2436"/>
    <w:rsid w:val="00B05665"/>
    <w:rsid w:val="00B4463F"/>
    <w:rsid w:val="00B6373D"/>
    <w:rsid w:val="00B85BB7"/>
    <w:rsid w:val="00B923EE"/>
    <w:rsid w:val="00C338F3"/>
    <w:rsid w:val="00C41476"/>
    <w:rsid w:val="00CA1748"/>
    <w:rsid w:val="00E26B07"/>
    <w:rsid w:val="00E51AD7"/>
    <w:rsid w:val="00E76258"/>
    <w:rsid w:val="00F43CE9"/>
    <w:rsid w:val="00FC6F7D"/>
    <w:rsid w:val="00FF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99FE-73C9-444D-9787-244C6011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8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F1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1814"/>
  </w:style>
  <w:style w:type="character" w:customStyle="1" w:styleId="normaltextrun">
    <w:name w:val="normaltextrun"/>
    <w:rsid w:val="0074345E"/>
  </w:style>
  <w:style w:type="paragraph" w:customStyle="1" w:styleId="paragraph">
    <w:name w:val="paragraph"/>
    <w:basedOn w:val="a"/>
    <w:rsid w:val="007434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4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4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4461-59FC-438E-B682-8EAC2A4C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Orion</cp:lastModifiedBy>
  <cp:revision>4</cp:revision>
  <cp:lastPrinted>2017-12-11T13:55:00Z</cp:lastPrinted>
  <dcterms:created xsi:type="dcterms:W3CDTF">2017-11-07T13:02:00Z</dcterms:created>
  <dcterms:modified xsi:type="dcterms:W3CDTF">2018-01-15T14:29:00Z</dcterms:modified>
</cp:coreProperties>
</file>