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36" w:rsidRDefault="00F17836" w:rsidP="00BB4D39">
      <w:pPr>
        <w:ind w:firstLine="708"/>
        <w:jc w:val="right"/>
        <w:rPr>
          <w:sz w:val="28"/>
          <w:szCs w:val="28"/>
        </w:rPr>
      </w:pPr>
    </w:p>
    <w:tbl>
      <w:tblPr>
        <w:tblpPr w:leftFromText="180" w:rightFromText="180" w:tblpY="630"/>
        <w:tblW w:w="9356" w:type="dxa"/>
        <w:tblLook w:val="01E0" w:firstRow="1" w:lastRow="1" w:firstColumn="1" w:lastColumn="1" w:noHBand="0" w:noVBand="0"/>
      </w:tblPr>
      <w:tblGrid>
        <w:gridCol w:w="2410"/>
        <w:gridCol w:w="4150"/>
        <w:gridCol w:w="2796"/>
      </w:tblGrid>
      <w:tr w:rsidR="00F17836" w:rsidRPr="00C73EDB" w:rsidTr="00CC736A">
        <w:trPr>
          <w:trHeight w:val="851"/>
        </w:trPr>
        <w:tc>
          <w:tcPr>
            <w:tcW w:w="9356" w:type="dxa"/>
            <w:gridSpan w:val="3"/>
          </w:tcPr>
          <w:p w:rsidR="00F17836" w:rsidRPr="00C73EDB" w:rsidRDefault="00F17836" w:rsidP="00CC736A">
            <w:pPr>
              <w:pStyle w:val="2"/>
              <w:numPr>
                <w:ilvl w:val="1"/>
                <w:numId w:val="2"/>
              </w:numPr>
              <w:rPr>
                <w:bCs/>
                <w:sz w:val="24"/>
                <w:szCs w:val="24"/>
              </w:rPr>
            </w:pPr>
            <w:r w:rsidRPr="00C73EDB">
              <w:rPr>
                <w:bCs/>
                <w:sz w:val="24"/>
                <w:szCs w:val="24"/>
              </w:rPr>
              <w:t xml:space="preserve">АДМИНИСТРАЦИЯ НОВОАЛЕКСАНДРОВСКОГО </w:t>
            </w:r>
          </w:p>
          <w:p w:rsidR="00F17836" w:rsidRPr="00C73EDB" w:rsidRDefault="006815A8" w:rsidP="00CC736A">
            <w:pPr>
              <w:pStyle w:val="2"/>
              <w:numPr>
                <w:ilvl w:val="1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МУНИЦИПАЛЬНОГО</w:t>
            </w:r>
            <w:r w:rsidR="00F17836">
              <w:rPr>
                <w:bCs/>
                <w:sz w:val="24"/>
                <w:szCs w:val="24"/>
                <w:lang w:val="ru-RU"/>
              </w:rPr>
              <w:t xml:space="preserve"> ОКРУГА</w:t>
            </w:r>
            <w:r w:rsidR="00F17836" w:rsidRPr="00C73EDB">
              <w:rPr>
                <w:bCs/>
                <w:sz w:val="24"/>
                <w:szCs w:val="24"/>
              </w:rPr>
              <w:t xml:space="preserve"> СТАВРОПОЛЬСКОГО КРАЯ</w:t>
            </w:r>
          </w:p>
          <w:p w:rsidR="00F17836" w:rsidRPr="00C73EDB" w:rsidRDefault="00F17836" w:rsidP="00CC736A">
            <w:pPr>
              <w:jc w:val="center"/>
              <w:rPr>
                <w:sz w:val="28"/>
                <w:szCs w:val="28"/>
              </w:rPr>
            </w:pPr>
          </w:p>
        </w:tc>
      </w:tr>
      <w:tr w:rsidR="00F17836" w:rsidRPr="00C73EDB" w:rsidTr="00CC736A">
        <w:trPr>
          <w:trHeight w:val="671"/>
        </w:trPr>
        <w:tc>
          <w:tcPr>
            <w:tcW w:w="2410" w:type="dxa"/>
          </w:tcPr>
          <w:p w:rsidR="00F17836" w:rsidRPr="00C73EDB" w:rsidRDefault="00F17836" w:rsidP="00CC736A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4150" w:type="dxa"/>
          </w:tcPr>
          <w:p w:rsidR="00F17836" w:rsidRPr="00C73EDB" w:rsidRDefault="00F17836" w:rsidP="00CC736A">
            <w:pPr>
              <w:jc w:val="center"/>
              <w:rPr>
                <w:sz w:val="36"/>
                <w:szCs w:val="36"/>
              </w:rPr>
            </w:pPr>
            <w:r w:rsidRPr="00C73EDB">
              <w:rPr>
                <w:sz w:val="36"/>
                <w:szCs w:val="36"/>
              </w:rPr>
              <w:t>ПОСТАНОВЛЕНИЕ</w:t>
            </w:r>
          </w:p>
          <w:p w:rsidR="00F17836" w:rsidRPr="00C73EDB" w:rsidRDefault="00F17836" w:rsidP="00CC736A">
            <w:pPr>
              <w:jc w:val="center"/>
            </w:pPr>
          </w:p>
          <w:p w:rsidR="00F17836" w:rsidRPr="00C73EDB" w:rsidRDefault="00F17836" w:rsidP="00CC736A">
            <w:pPr>
              <w:jc w:val="center"/>
            </w:pPr>
          </w:p>
        </w:tc>
        <w:tc>
          <w:tcPr>
            <w:tcW w:w="2796" w:type="dxa"/>
          </w:tcPr>
          <w:p w:rsidR="00F17836" w:rsidRPr="00C73EDB" w:rsidRDefault="00F17836" w:rsidP="00CC736A">
            <w:pPr>
              <w:jc w:val="right"/>
              <w:rPr>
                <w:sz w:val="28"/>
                <w:szCs w:val="28"/>
              </w:rPr>
            </w:pPr>
          </w:p>
        </w:tc>
      </w:tr>
      <w:tr w:rsidR="00F17836" w:rsidRPr="00C73EDB" w:rsidTr="00CC736A">
        <w:trPr>
          <w:trHeight w:val="316"/>
        </w:trPr>
        <w:tc>
          <w:tcPr>
            <w:tcW w:w="2410" w:type="dxa"/>
          </w:tcPr>
          <w:p w:rsidR="00F17836" w:rsidRPr="00C73EDB" w:rsidRDefault="00BB4D39" w:rsidP="00D14E34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  <w:r>
              <w:rPr>
                <w:bCs/>
                <w:lang w:val="ru-RU"/>
              </w:rPr>
              <w:t xml:space="preserve"> </w:t>
            </w:r>
            <w:r w:rsidR="00874BC8">
              <w:rPr>
                <w:bCs/>
                <w:lang w:val="ru-RU"/>
              </w:rPr>
              <w:t xml:space="preserve"> </w:t>
            </w:r>
            <w:r w:rsidR="009D3FA8">
              <w:rPr>
                <w:bCs/>
                <w:lang w:val="ru-RU"/>
              </w:rPr>
              <w:t>21.03.</w:t>
            </w:r>
            <w:r w:rsidR="00874BC8">
              <w:rPr>
                <w:bCs/>
                <w:lang w:val="ru-RU"/>
              </w:rPr>
              <w:t>20</w:t>
            </w:r>
            <w:r>
              <w:rPr>
                <w:bCs/>
                <w:lang w:val="ru-RU"/>
              </w:rPr>
              <w:t>2</w:t>
            </w:r>
            <w:r w:rsidR="00D14E34">
              <w:rPr>
                <w:bCs/>
                <w:lang w:val="ru-RU"/>
              </w:rPr>
              <w:t>4</w:t>
            </w:r>
            <w:r w:rsidR="00874BC8">
              <w:rPr>
                <w:bCs/>
                <w:lang w:val="ru-RU"/>
              </w:rPr>
              <w:t xml:space="preserve"> г.</w:t>
            </w:r>
          </w:p>
        </w:tc>
        <w:tc>
          <w:tcPr>
            <w:tcW w:w="4150" w:type="dxa"/>
          </w:tcPr>
          <w:p w:rsidR="00F17836" w:rsidRPr="00C73EDB" w:rsidRDefault="00F17836" w:rsidP="00CC736A">
            <w:pPr>
              <w:jc w:val="center"/>
              <w:rPr>
                <w:sz w:val="28"/>
                <w:szCs w:val="28"/>
              </w:rPr>
            </w:pPr>
            <w:r w:rsidRPr="00C73EDB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796" w:type="dxa"/>
          </w:tcPr>
          <w:p w:rsidR="00F17836" w:rsidRPr="00C73EDB" w:rsidRDefault="00F17836" w:rsidP="00BB4D39">
            <w:pPr>
              <w:jc w:val="center"/>
              <w:rPr>
                <w:sz w:val="28"/>
                <w:szCs w:val="28"/>
              </w:rPr>
            </w:pPr>
            <w:r w:rsidRPr="00C73EDB">
              <w:rPr>
                <w:sz w:val="28"/>
                <w:szCs w:val="28"/>
              </w:rPr>
              <w:t>№</w:t>
            </w:r>
            <w:r w:rsidR="00874BC8">
              <w:rPr>
                <w:sz w:val="28"/>
                <w:szCs w:val="28"/>
              </w:rPr>
              <w:t xml:space="preserve"> </w:t>
            </w:r>
            <w:r w:rsidR="009D3FA8">
              <w:rPr>
                <w:sz w:val="28"/>
                <w:szCs w:val="28"/>
              </w:rPr>
              <w:t>424</w:t>
            </w:r>
          </w:p>
        </w:tc>
      </w:tr>
    </w:tbl>
    <w:p w:rsidR="00F17836" w:rsidRDefault="00F17836" w:rsidP="00F17836">
      <w:pPr>
        <w:ind w:firstLine="708"/>
        <w:jc w:val="both"/>
        <w:rPr>
          <w:sz w:val="28"/>
          <w:szCs w:val="28"/>
        </w:rPr>
      </w:pPr>
    </w:p>
    <w:p w:rsidR="00F17836" w:rsidRPr="00C73EDB" w:rsidRDefault="00F17836" w:rsidP="00F17836">
      <w:pPr>
        <w:ind w:firstLine="708"/>
        <w:jc w:val="both"/>
        <w:rPr>
          <w:sz w:val="28"/>
          <w:szCs w:val="28"/>
        </w:rPr>
      </w:pPr>
    </w:p>
    <w:p w:rsidR="00F17836" w:rsidRDefault="00F17836" w:rsidP="001F4A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836">
        <w:rPr>
          <w:rFonts w:ascii="Times New Roman" w:hAnsi="Times New Roman" w:cs="Times New Roman"/>
          <w:b w:val="0"/>
          <w:sz w:val="28"/>
          <w:szCs w:val="28"/>
        </w:rPr>
        <w:t>О</w:t>
      </w:r>
      <w:r w:rsidR="00C14EBD">
        <w:rPr>
          <w:rFonts w:ascii="Times New Roman" w:hAnsi="Times New Roman" w:cs="Times New Roman"/>
          <w:b w:val="0"/>
          <w:sz w:val="28"/>
          <w:szCs w:val="28"/>
        </w:rPr>
        <w:t>б утверждении Порядка формирования перечня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налоговых расходов Новоалександровского </w:t>
      </w:r>
      <w:r w:rsidR="006815A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F17836" w:rsidRPr="00C73EDB" w:rsidRDefault="00F17836" w:rsidP="00F178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836" w:rsidRPr="00F17836" w:rsidRDefault="00F17836" w:rsidP="00F178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36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5" w:history="1">
        <w:r w:rsidRPr="00F1783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14EBD">
          <w:rPr>
            <w:rFonts w:ascii="Times New Roman" w:hAnsi="Times New Roman" w:cs="Times New Roman"/>
            <w:sz w:val="28"/>
            <w:szCs w:val="28"/>
          </w:rPr>
          <w:t>1</w:t>
        </w:r>
        <w:r w:rsidRPr="00F17836">
          <w:rPr>
            <w:rFonts w:ascii="Times New Roman" w:hAnsi="Times New Roman" w:cs="Times New Roman"/>
            <w:sz w:val="28"/>
            <w:szCs w:val="28"/>
          </w:rPr>
          <w:t xml:space="preserve"> статьи 174</w:t>
        </w:r>
      </w:hyperlink>
      <w:r w:rsidR="00234544">
        <w:rPr>
          <w:rFonts w:ascii="Times New Roman" w:hAnsi="Times New Roman" w:cs="Times New Roman"/>
          <w:sz w:val="28"/>
          <w:szCs w:val="28"/>
        </w:rPr>
        <w:t>.3</w:t>
      </w:r>
      <w:r w:rsidRPr="00F17836">
        <w:rPr>
          <w:rFonts w:ascii="Times New Roman" w:hAnsi="Times New Roman" w:cs="Times New Roman"/>
          <w:sz w:val="28"/>
          <w:szCs w:val="28"/>
        </w:rPr>
        <w:t xml:space="preserve"> Бюджетног</w:t>
      </w:r>
      <w:r w:rsidR="00C14EBD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505BA">
        <w:rPr>
          <w:rFonts w:ascii="Times New Roman" w:hAnsi="Times New Roman" w:cs="Times New Roman"/>
          <w:sz w:val="28"/>
          <w:szCs w:val="28"/>
        </w:rPr>
        <w:t>,</w:t>
      </w:r>
      <w:r w:rsidR="000505BA" w:rsidRPr="000505BA">
        <w:rPr>
          <w:b/>
        </w:rPr>
        <w:t xml:space="preserve"> </w:t>
      </w:r>
      <w:r w:rsidR="000505BA" w:rsidRPr="000505BA">
        <w:rPr>
          <w:rFonts w:ascii="Times New Roman" w:hAnsi="Times New Roman" w:cs="Times New Roman"/>
          <w:sz w:val="28"/>
          <w:szCs w:val="28"/>
        </w:rPr>
        <w:t>Законом Ставропольского края от 30 мая 2023 года № 50-кз «О наделении Новоалександровского городского округа Ставропольского края статусом муниципального округа»,</w:t>
      </w:r>
      <w:r w:rsidRPr="00F17836">
        <w:rPr>
          <w:rFonts w:ascii="Times New Roman" w:hAnsi="Times New Roman" w:cs="Times New Roman"/>
          <w:sz w:val="28"/>
          <w:szCs w:val="28"/>
        </w:rPr>
        <w:t xml:space="preserve"> администрация Новоалександровского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783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F17836" w:rsidRPr="00C73EDB" w:rsidRDefault="00F17836" w:rsidP="00F17836">
      <w:pPr>
        <w:jc w:val="both"/>
        <w:rPr>
          <w:sz w:val="28"/>
          <w:szCs w:val="28"/>
        </w:rPr>
      </w:pPr>
    </w:p>
    <w:p w:rsidR="00F17836" w:rsidRPr="00C73EDB" w:rsidRDefault="00F17836" w:rsidP="00F17836">
      <w:pPr>
        <w:jc w:val="both"/>
        <w:rPr>
          <w:sz w:val="28"/>
          <w:szCs w:val="28"/>
        </w:rPr>
      </w:pPr>
      <w:r w:rsidRPr="00C73EDB">
        <w:rPr>
          <w:sz w:val="28"/>
          <w:szCs w:val="28"/>
        </w:rPr>
        <w:t>ПОСТАНОВЛЯЕТ:</w:t>
      </w:r>
    </w:p>
    <w:p w:rsidR="00F17836" w:rsidRPr="00C73EDB" w:rsidRDefault="00F17836" w:rsidP="00F17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836" w:rsidRDefault="00F17836" w:rsidP="00F17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EDB">
        <w:rPr>
          <w:rFonts w:ascii="Times New Roman" w:hAnsi="Times New Roman" w:cs="Times New Roman"/>
          <w:sz w:val="28"/>
          <w:szCs w:val="28"/>
        </w:rPr>
        <w:t xml:space="preserve">1. </w:t>
      </w:r>
      <w:r w:rsidR="001661B5" w:rsidRPr="00F036B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7" w:history="1">
        <w:r w:rsidR="001661B5" w:rsidRPr="001661B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661B5" w:rsidRPr="00F036B9">
        <w:rPr>
          <w:rFonts w:ascii="Times New Roman" w:hAnsi="Times New Roman" w:cs="Times New Roman"/>
          <w:sz w:val="28"/>
          <w:szCs w:val="28"/>
        </w:rPr>
        <w:t xml:space="preserve"> </w:t>
      </w:r>
      <w:r w:rsidR="00C14EBD">
        <w:rPr>
          <w:rFonts w:ascii="Times New Roman" w:hAnsi="Times New Roman" w:cs="Times New Roman"/>
          <w:sz w:val="28"/>
          <w:szCs w:val="28"/>
        </w:rPr>
        <w:t>формирования перечня</w:t>
      </w:r>
      <w:r w:rsidR="001661B5" w:rsidRPr="00F036B9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Pr="00C73EDB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73ED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F825CC" w:rsidRDefault="00F825CC" w:rsidP="00F825C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5CC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администрации Новоалександровского городского округа Ставропольского края от 18 ноября 2019 г. № 1687 «Об утверждении Порядка формирования перечня налоговых расходов Новоалександровского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F825CC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A3296" w:rsidRPr="002A3296" w:rsidRDefault="002A3296" w:rsidP="002A329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3296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постановление в муниципальной газете «</w:t>
      </w:r>
      <w:proofErr w:type="spellStart"/>
      <w:r w:rsidRPr="002A3296">
        <w:rPr>
          <w:rFonts w:ascii="Times New Roman" w:hAnsi="Times New Roman" w:cs="Times New Roman"/>
          <w:b w:val="0"/>
          <w:sz w:val="28"/>
          <w:szCs w:val="28"/>
        </w:rPr>
        <w:t>Новоалександровский</w:t>
      </w:r>
      <w:proofErr w:type="spellEnd"/>
      <w:r w:rsidRPr="002A3296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Новоалександровского муниципального округа Ставропольского края </w:t>
      </w:r>
      <w:r w:rsidR="001E6F16" w:rsidRPr="001E6F16">
        <w:rPr>
          <w:rFonts w:ascii="Times New Roman" w:hAnsi="Times New Roman" w:cs="Times New Roman"/>
          <w:b w:val="0"/>
          <w:sz w:val="28"/>
          <w:szCs w:val="28"/>
        </w:rPr>
        <w:t>(</w:t>
      </w:r>
      <w:r w:rsidRPr="001E6F16">
        <w:rPr>
          <w:rFonts w:ascii="Times New Roman" w:hAnsi="Times New Roman" w:cs="Times New Roman"/>
          <w:b w:val="0"/>
          <w:sz w:val="28"/>
          <w:szCs w:val="28"/>
        </w:rPr>
        <w:t>https://novoaleksandrovsk.gosuslugi.ru</w:t>
      </w:r>
      <w:r w:rsidR="001E6F16" w:rsidRPr="001E6F16">
        <w:rPr>
          <w:rFonts w:ascii="Times New Roman" w:hAnsi="Times New Roman" w:cs="Times New Roman"/>
          <w:b w:val="0"/>
          <w:sz w:val="28"/>
          <w:szCs w:val="28"/>
        </w:rPr>
        <w:t>)</w:t>
      </w:r>
      <w:r w:rsidR="001E6F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7836" w:rsidRPr="00C73EDB" w:rsidRDefault="002A3296" w:rsidP="00F17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7836" w:rsidRPr="00C73ED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- начальника финансового управления администрации</w:t>
      </w:r>
      <w:r w:rsidR="00F17836">
        <w:rPr>
          <w:rFonts w:ascii="Times New Roman" w:hAnsi="Times New Roman" w:cs="Times New Roman"/>
          <w:sz w:val="28"/>
          <w:szCs w:val="28"/>
        </w:rPr>
        <w:t xml:space="preserve"> Новоалександровского</w:t>
      </w:r>
      <w:r w:rsidR="00F17836" w:rsidRPr="00C73EDB">
        <w:rPr>
          <w:rFonts w:ascii="Times New Roman" w:hAnsi="Times New Roman" w:cs="Times New Roman"/>
          <w:sz w:val="28"/>
          <w:szCs w:val="28"/>
        </w:rPr>
        <w:t xml:space="preserve">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F1783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17836" w:rsidRPr="00C73ED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F825CC">
        <w:rPr>
          <w:rFonts w:ascii="Times New Roman" w:hAnsi="Times New Roman" w:cs="Times New Roman"/>
          <w:sz w:val="28"/>
          <w:szCs w:val="28"/>
        </w:rPr>
        <w:t>Неровно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825CC">
        <w:rPr>
          <w:rFonts w:ascii="Times New Roman" w:hAnsi="Times New Roman" w:cs="Times New Roman"/>
          <w:sz w:val="28"/>
          <w:szCs w:val="28"/>
        </w:rPr>
        <w:t xml:space="preserve"> И.В</w:t>
      </w:r>
      <w:r w:rsidR="00F17836" w:rsidRPr="00C73EDB">
        <w:rPr>
          <w:rFonts w:ascii="Times New Roman" w:hAnsi="Times New Roman" w:cs="Times New Roman"/>
          <w:sz w:val="28"/>
          <w:szCs w:val="28"/>
        </w:rPr>
        <w:t>.</w:t>
      </w:r>
    </w:p>
    <w:p w:rsidR="00F17836" w:rsidRPr="002A3296" w:rsidRDefault="00D14E34" w:rsidP="00F17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7836" w:rsidRPr="00C73ED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1E6F1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2A3296" w:rsidRPr="002A3296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с 01января 2024 года</w:t>
      </w:r>
      <w:r w:rsidR="00F17836" w:rsidRPr="002A3296">
        <w:rPr>
          <w:rFonts w:ascii="Times New Roman" w:hAnsi="Times New Roman" w:cs="Times New Roman"/>
          <w:sz w:val="28"/>
          <w:szCs w:val="28"/>
        </w:rPr>
        <w:t>.</w:t>
      </w:r>
    </w:p>
    <w:p w:rsidR="00F17836" w:rsidRPr="00C73EDB" w:rsidRDefault="00F17836" w:rsidP="00F178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836" w:rsidRPr="00C73EDB" w:rsidRDefault="00F17836" w:rsidP="00F178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836" w:rsidRPr="00C73EDB" w:rsidRDefault="00F17836" w:rsidP="00F17836">
      <w:pPr>
        <w:jc w:val="both"/>
        <w:rPr>
          <w:sz w:val="28"/>
          <w:szCs w:val="28"/>
        </w:rPr>
      </w:pPr>
      <w:r w:rsidRPr="00C73EDB">
        <w:rPr>
          <w:sz w:val="28"/>
          <w:szCs w:val="28"/>
        </w:rPr>
        <w:t>Глава Новоалександровского</w:t>
      </w:r>
    </w:p>
    <w:p w:rsidR="00F17836" w:rsidRPr="00C73EDB" w:rsidRDefault="006815A8" w:rsidP="00F17836">
      <w:pPr>
        <w:tabs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17836">
        <w:rPr>
          <w:sz w:val="28"/>
          <w:szCs w:val="28"/>
        </w:rPr>
        <w:t xml:space="preserve"> округа</w:t>
      </w:r>
      <w:r w:rsidR="00F17836" w:rsidRPr="00C73EDB">
        <w:rPr>
          <w:sz w:val="28"/>
          <w:szCs w:val="28"/>
        </w:rPr>
        <w:t xml:space="preserve"> </w:t>
      </w:r>
    </w:p>
    <w:p w:rsidR="00F17836" w:rsidRPr="00C73EDB" w:rsidRDefault="00F17836" w:rsidP="00F17836">
      <w:pPr>
        <w:tabs>
          <w:tab w:val="left" w:pos="6345"/>
        </w:tabs>
        <w:jc w:val="both"/>
        <w:rPr>
          <w:sz w:val="28"/>
          <w:szCs w:val="28"/>
        </w:rPr>
      </w:pPr>
      <w:r w:rsidRPr="00C73EDB">
        <w:rPr>
          <w:sz w:val="28"/>
          <w:szCs w:val="28"/>
        </w:rPr>
        <w:t>Ставропольского края</w:t>
      </w:r>
      <w:r w:rsidRPr="00C73EDB">
        <w:rPr>
          <w:sz w:val="28"/>
          <w:szCs w:val="28"/>
        </w:rPr>
        <w:tab/>
        <w:t xml:space="preserve">         </w:t>
      </w:r>
      <w:r w:rsidR="00BB4D39">
        <w:rPr>
          <w:sz w:val="28"/>
          <w:szCs w:val="28"/>
        </w:rPr>
        <w:t xml:space="preserve">    </w:t>
      </w:r>
      <w:r w:rsidRPr="00C73EDB">
        <w:rPr>
          <w:sz w:val="28"/>
          <w:szCs w:val="28"/>
        </w:rPr>
        <w:t xml:space="preserve">     </w:t>
      </w:r>
      <w:proofErr w:type="spellStart"/>
      <w:r w:rsidR="00F825CC">
        <w:rPr>
          <w:sz w:val="28"/>
          <w:szCs w:val="28"/>
        </w:rPr>
        <w:t>Э.А.Колтунов</w:t>
      </w:r>
      <w:proofErr w:type="spellEnd"/>
    </w:p>
    <w:p w:rsidR="00F17836" w:rsidRDefault="00F17836" w:rsidP="00F17836">
      <w:pPr>
        <w:tabs>
          <w:tab w:val="left" w:pos="6345"/>
        </w:tabs>
        <w:jc w:val="both"/>
        <w:rPr>
          <w:sz w:val="28"/>
          <w:szCs w:val="28"/>
        </w:rPr>
      </w:pPr>
    </w:p>
    <w:p w:rsidR="00F17836" w:rsidRPr="00C73EDB" w:rsidRDefault="00F17836" w:rsidP="00F178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3ED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17836" w:rsidRPr="00C73EDB" w:rsidRDefault="00F17836" w:rsidP="00F178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3ED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17836" w:rsidRPr="00C73EDB" w:rsidRDefault="00F17836" w:rsidP="00F178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3E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17836" w:rsidRPr="00C73EDB" w:rsidRDefault="00F17836" w:rsidP="00F178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3EDB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F17836" w:rsidRPr="00C73EDB" w:rsidRDefault="006815A8" w:rsidP="00F178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1783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17836" w:rsidRPr="00C73EDB" w:rsidRDefault="00F17836" w:rsidP="00F178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3ED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17836" w:rsidRDefault="00B15D24" w:rsidP="00F178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783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21.03.2024г.</w:t>
      </w:r>
      <w:r w:rsidR="00874BC8">
        <w:rPr>
          <w:rFonts w:ascii="Times New Roman" w:hAnsi="Times New Roman" w:cs="Times New Roman"/>
          <w:sz w:val="28"/>
          <w:szCs w:val="28"/>
        </w:rPr>
        <w:t xml:space="preserve"> </w:t>
      </w:r>
      <w:r w:rsidR="00F17836" w:rsidRPr="00C73EDB">
        <w:rPr>
          <w:rFonts w:ascii="Times New Roman" w:hAnsi="Times New Roman" w:cs="Times New Roman"/>
          <w:sz w:val="28"/>
          <w:szCs w:val="28"/>
        </w:rPr>
        <w:t>№</w:t>
      </w:r>
      <w:r w:rsidR="00F1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424</w:t>
      </w:r>
      <w:bookmarkStart w:id="0" w:name="_GoBack"/>
      <w:bookmarkEnd w:id="0"/>
      <w:r w:rsidR="00F1783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7836" w:rsidRDefault="00F1783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A0C19" w:rsidRPr="00F036B9" w:rsidRDefault="001A0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C19" w:rsidRPr="00646F3B" w:rsidRDefault="001A0C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 w:rsidRPr="00646F3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A0C19" w:rsidRPr="00646F3B" w:rsidRDefault="00C14E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ФОРМИРОВАНИЯ ПЕРЕЧНЯ</w:t>
      </w:r>
      <w:r w:rsidR="001A0C19" w:rsidRPr="00646F3B">
        <w:rPr>
          <w:rFonts w:ascii="Times New Roman" w:hAnsi="Times New Roman" w:cs="Times New Roman"/>
          <w:b w:val="0"/>
          <w:sz w:val="28"/>
          <w:szCs w:val="28"/>
        </w:rPr>
        <w:t xml:space="preserve"> НАЛОГОВЫХ РАСХОДОВ </w:t>
      </w:r>
      <w:r w:rsidR="00646F3B" w:rsidRPr="00646F3B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  <w:r w:rsidR="006815A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46F3B" w:rsidRPr="00646F3B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1A0C19" w:rsidRPr="00646F3B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1A0C19" w:rsidRPr="00646F3B" w:rsidRDefault="001A0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609D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3113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B4D39">
        <w:rPr>
          <w:rFonts w:ascii="Times New Roman" w:hAnsi="Times New Roman" w:cs="Times New Roman"/>
          <w:sz w:val="28"/>
          <w:szCs w:val="28"/>
        </w:rPr>
        <w:t>муниципальный</w:t>
      </w:r>
      <w:r w:rsidR="00131135">
        <w:rPr>
          <w:rFonts w:ascii="Times New Roman" w:hAnsi="Times New Roman" w:cs="Times New Roman"/>
          <w:sz w:val="28"/>
          <w:szCs w:val="28"/>
        </w:rPr>
        <w:t xml:space="preserve"> округ) </w:t>
      </w:r>
      <w:r w:rsidRPr="004609D1">
        <w:rPr>
          <w:rFonts w:ascii="Times New Roman" w:hAnsi="Times New Roman" w:cs="Times New Roman"/>
          <w:sz w:val="28"/>
          <w:szCs w:val="28"/>
        </w:rPr>
        <w:t>и состав информации, подлежащей включению в такой перечень.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>2. Для целей настоящего Порядка применяются следующие понятия и термины: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609D1">
        <w:rPr>
          <w:rFonts w:ascii="Times New Roman" w:hAnsi="Times New Roman" w:cs="Times New Roman"/>
          <w:sz w:val="28"/>
          <w:szCs w:val="28"/>
        </w:rPr>
        <w:t xml:space="preserve">- выпадающие доходы бюджета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</w:t>
      </w:r>
      <w:r w:rsidR="00827FB0">
        <w:rPr>
          <w:rFonts w:ascii="Times New Roman" w:hAnsi="Times New Roman" w:cs="Times New Roman"/>
          <w:sz w:val="28"/>
          <w:szCs w:val="28"/>
        </w:rPr>
        <w:t xml:space="preserve">решениями Совета депутатов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 xml:space="preserve"> в качестве мер </w:t>
      </w:r>
      <w:r w:rsidR="00827FB0">
        <w:rPr>
          <w:rFonts w:ascii="Times New Roman" w:hAnsi="Times New Roman" w:cs="Times New Roman"/>
          <w:sz w:val="28"/>
          <w:szCs w:val="28"/>
        </w:rPr>
        <w:t>муниципальной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поддержки в соответствии с целями </w:t>
      </w:r>
      <w:r w:rsidR="00827FB0">
        <w:rPr>
          <w:rFonts w:ascii="Times New Roman" w:hAnsi="Times New Roman" w:cs="Times New Roman"/>
          <w:sz w:val="28"/>
          <w:szCs w:val="28"/>
        </w:rPr>
        <w:t>муниципальных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609D1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827FB0">
        <w:rPr>
          <w:rFonts w:ascii="Times New Roman" w:hAnsi="Times New Roman" w:cs="Times New Roman"/>
          <w:sz w:val="28"/>
          <w:szCs w:val="28"/>
        </w:rPr>
        <w:t>муниципальным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>;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 xml:space="preserve">куратор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 –</w:t>
      </w:r>
      <w:r w:rsidRPr="004609D1">
        <w:rPr>
          <w:rFonts w:ascii="Times New Roman" w:hAnsi="Times New Roman" w:cs="Times New Roman"/>
          <w:sz w:val="28"/>
          <w:szCs w:val="28"/>
        </w:rPr>
        <w:t xml:space="preserve"> </w:t>
      </w:r>
      <w:r w:rsidR="00827FB0"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r w:rsidR="006F56D1">
        <w:rPr>
          <w:rFonts w:ascii="Times New Roman" w:hAnsi="Times New Roman" w:cs="Times New Roman"/>
          <w:sz w:val="28"/>
          <w:szCs w:val="28"/>
        </w:rPr>
        <w:t>орган</w:t>
      </w:r>
      <w:r w:rsidRPr="004609D1">
        <w:rPr>
          <w:rFonts w:ascii="Times New Roman" w:hAnsi="Times New Roman" w:cs="Times New Roman"/>
          <w:sz w:val="28"/>
          <w:szCs w:val="28"/>
        </w:rPr>
        <w:t xml:space="preserve"> </w:t>
      </w:r>
      <w:r w:rsidR="00827F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>, ответственный в соответствии с полномочиями, установленными нормативными правовыми актами</w:t>
      </w:r>
      <w:r w:rsidR="00827FB0">
        <w:rPr>
          <w:rFonts w:ascii="Times New Roman" w:hAnsi="Times New Roman" w:cs="Times New Roman"/>
          <w:sz w:val="28"/>
          <w:szCs w:val="28"/>
        </w:rPr>
        <w:t xml:space="preserve">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налоговым расходам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609D1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827FB0">
        <w:rPr>
          <w:rFonts w:ascii="Times New Roman" w:hAnsi="Times New Roman" w:cs="Times New Roman"/>
          <w:sz w:val="28"/>
          <w:szCs w:val="28"/>
        </w:rPr>
        <w:t>муниципальных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609D1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 w:rsidRPr="00F84D7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84D76">
        <w:rPr>
          <w:rFonts w:ascii="Times New Roman" w:hAnsi="Times New Roman" w:cs="Times New Roman"/>
          <w:sz w:val="28"/>
          <w:szCs w:val="28"/>
        </w:rPr>
        <w:t>.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 xml:space="preserve">3. Перечень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609D1">
        <w:rPr>
          <w:rFonts w:ascii="Times New Roman" w:hAnsi="Times New Roman" w:cs="Times New Roman"/>
          <w:sz w:val="28"/>
          <w:szCs w:val="28"/>
        </w:rPr>
        <w:t>формируется финансов</w:t>
      </w:r>
      <w:r w:rsidR="00827FB0">
        <w:rPr>
          <w:rFonts w:ascii="Times New Roman" w:hAnsi="Times New Roman" w:cs="Times New Roman"/>
          <w:sz w:val="28"/>
          <w:szCs w:val="28"/>
        </w:rPr>
        <w:t xml:space="preserve">ым управлением администрации </w:t>
      </w:r>
      <w:r w:rsidR="009D3AB6">
        <w:rPr>
          <w:rFonts w:ascii="Times New Roman" w:hAnsi="Times New Roman" w:cs="Times New Roman"/>
          <w:sz w:val="28"/>
          <w:szCs w:val="28"/>
        </w:rPr>
        <w:t xml:space="preserve">Новоалександровского муниципального округа </w:t>
      </w:r>
      <w:r w:rsidR="009D3AB6" w:rsidRPr="004609D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09D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7FB0">
        <w:rPr>
          <w:rFonts w:ascii="Times New Roman" w:hAnsi="Times New Roman" w:cs="Times New Roman"/>
          <w:sz w:val="28"/>
          <w:szCs w:val="28"/>
        </w:rPr>
        <w:t>–</w:t>
      </w:r>
      <w:r w:rsidRPr="004609D1">
        <w:rPr>
          <w:rFonts w:ascii="Times New Roman" w:hAnsi="Times New Roman" w:cs="Times New Roman"/>
          <w:sz w:val="28"/>
          <w:szCs w:val="28"/>
        </w:rPr>
        <w:t xml:space="preserve"> </w:t>
      </w:r>
      <w:r w:rsidR="00827FB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4609D1">
        <w:rPr>
          <w:rFonts w:ascii="Times New Roman" w:hAnsi="Times New Roman" w:cs="Times New Roman"/>
          <w:sz w:val="28"/>
          <w:szCs w:val="28"/>
        </w:rPr>
        <w:t xml:space="preserve">) в соответствии с целями </w:t>
      </w:r>
      <w:r w:rsidR="00827FB0">
        <w:rPr>
          <w:rFonts w:ascii="Times New Roman" w:hAnsi="Times New Roman" w:cs="Times New Roman"/>
          <w:sz w:val="28"/>
          <w:szCs w:val="28"/>
        </w:rPr>
        <w:t>муниципальных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609D1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827FB0">
        <w:rPr>
          <w:rFonts w:ascii="Times New Roman" w:hAnsi="Times New Roman" w:cs="Times New Roman"/>
          <w:sz w:val="28"/>
          <w:szCs w:val="28"/>
        </w:rPr>
        <w:t>муниципальным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 xml:space="preserve">, по форме, утверждаемой </w:t>
      </w:r>
      <w:r w:rsidR="00827FB0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4609D1">
        <w:rPr>
          <w:rFonts w:ascii="Times New Roman" w:hAnsi="Times New Roman" w:cs="Times New Roman"/>
          <w:sz w:val="28"/>
          <w:szCs w:val="28"/>
        </w:rPr>
        <w:t>.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>4. В перечень налоговых расходов</w:t>
      </w:r>
      <w:r w:rsidR="00827FB0" w:rsidRPr="00827FB0">
        <w:rPr>
          <w:rFonts w:ascii="Times New Roman" w:hAnsi="Times New Roman" w:cs="Times New Roman"/>
          <w:sz w:val="28"/>
          <w:szCs w:val="28"/>
        </w:rPr>
        <w:t xml:space="preserve">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 xml:space="preserve">1) наименование налога (сбора), по которому </w:t>
      </w:r>
      <w:r w:rsidR="00827FB0">
        <w:rPr>
          <w:rFonts w:ascii="Times New Roman" w:hAnsi="Times New Roman" w:cs="Times New Roman"/>
          <w:sz w:val="28"/>
          <w:szCs w:val="28"/>
        </w:rPr>
        <w:t xml:space="preserve">решениями Совета депутатов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609D1">
        <w:rPr>
          <w:rFonts w:ascii="Times New Roman" w:hAnsi="Times New Roman" w:cs="Times New Roman"/>
          <w:sz w:val="28"/>
          <w:szCs w:val="28"/>
        </w:rPr>
        <w:t xml:space="preserve">предусматриваются налоговые льготы, освобождения и иные преференции в качестве мер </w:t>
      </w:r>
      <w:r w:rsidR="00827FB0">
        <w:rPr>
          <w:rFonts w:ascii="Times New Roman" w:hAnsi="Times New Roman" w:cs="Times New Roman"/>
          <w:sz w:val="28"/>
          <w:szCs w:val="28"/>
        </w:rPr>
        <w:t>муниципальной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поддержки (далее - налоговая льгота);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>2) наименование налоговой льготы;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 xml:space="preserve">3) реквизиты нормативного правового акта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>, предусматривающего налоговую льготу;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>4) категория получателей налоговой льготы;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>5) условия предоставления налоговой льготы;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 xml:space="preserve">6) наименование куратора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>;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 xml:space="preserve">7) наименование </w:t>
      </w:r>
      <w:r w:rsidR="00827FB0">
        <w:rPr>
          <w:rFonts w:ascii="Times New Roman" w:hAnsi="Times New Roman" w:cs="Times New Roman"/>
          <w:sz w:val="28"/>
          <w:szCs w:val="28"/>
        </w:rPr>
        <w:t>муниципальной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>, цели которой соответствуют налоговым расходам</w:t>
      </w:r>
      <w:r w:rsidR="00827FB0">
        <w:rPr>
          <w:rFonts w:ascii="Times New Roman" w:hAnsi="Times New Roman" w:cs="Times New Roman"/>
          <w:sz w:val="28"/>
          <w:szCs w:val="28"/>
        </w:rPr>
        <w:t xml:space="preserve">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>;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 xml:space="preserve">8) реквизиты нормативного правового акта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 xml:space="preserve">, предусматривающего утверждение </w:t>
      </w:r>
      <w:r w:rsidR="00827FB0">
        <w:rPr>
          <w:rFonts w:ascii="Times New Roman" w:hAnsi="Times New Roman" w:cs="Times New Roman"/>
          <w:sz w:val="28"/>
          <w:szCs w:val="28"/>
        </w:rPr>
        <w:t>муниципальной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 xml:space="preserve">, цели которой соответствуют налоговым расходам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>;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 xml:space="preserve">9) наименование и значение индикатора достижения цели </w:t>
      </w:r>
      <w:r w:rsidR="00827FB0">
        <w:rPr>
          <w:rFonts w:ascii="Times New Roman" w:hAnsi="Times New Roman" w:cs="Times New Roman"/>
          <w:sz w:val="28"/>
          <w:szCs w:val="28"/>
        </w:rPr>
        <w:t>муниципальной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27FB0">
        <w:rPr>
          <w:rFonts w:ascii="Times New Roman" w:hAnsi="Times New Roman" w:cs="Times New Roman"/>
          <w:sz w:val="28"/>
          <w:szCs w:val="28"/>
        </w:rPr>
        <w:t xml:space="preserve">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27F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>;</w:t>
      </w:r>
    </w:p>
    <w:p w:rsidR="004609D1" w:rsidRPr="004609D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D1">
        <w:rPr>
          <w:rFonts w:ascii="Times New Roman" w:hAnsi="Times New Roman" w:cs="Times New Roman"/>
          <w:sz w:val="28"/>
          <w:szCs w:val="28"/>
        </w:rPr>
        <w:t xml:space="preserve">10) цель социально-экономической политики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87395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 xml:space="preserve">, не относящаяся к </w:t>
      </w:r>
      <w:r w:rsidR="00827FB0">
        <w:rPr>
          <w:rFonts w:ascii="Times New Roman" w:hAnsi="Times New Roman" w:cs="Times New Roman"/>
          <w:sz w:val="28"/>
          <w:szCs w:val="28"/>
        </w:rPr>
        <w:t>муниципальным</w:t>
      </w:r>
      <w:r w:rsidRPr="004609D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2D6BC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609D1">
        <w:rPr>
          <w:rFonts w:ascii="Times New Roman" w:hAnsi="Times New Roman" w:cs="Times New Roman"/>
          <w:sz w:val="28"/>
          <w:szCs w:val="28"/>
        </w:rPr>
        <w:t>;</w:t>
      </w:r>
    </w:p>
    <w:p w:rsidR="004609D1" w:rsidRPr="002A4382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82">
        <w:rPr>
          <w:rFonts w:ascii="Times New Roman" w:hAnsi="Times New Roman" w:cs="Times New Roman"/>
          <w:sz w:val="28"/>
          <w:szCs w:val="28"/>
        </w:rPr>
        <w:t xml:space="preserve">11) наименование и значение показателя достижения цели социально-экономической политики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2A4382" w:rsidRPr="002A43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A4382">
        <w:rPr>
          <w:rFonts w:ascii="Times New Roman" w:hAnsi="Times New Roman" w:cs="Times New Roman"/>
          <w:sz w:val="28"/>
          <w:szCs w:val="28"/>
        </w:rPr>
        <w:t xml:space="preserve">, не относящейся к </w:t>
      </w:r>
      <w:r w:rsidR="00827FB0" w:rsidRPr="002A4382">
        <w:rPr>
          <w:rFonts w:ascii="Times New Roman" w:hAnsi="Times New Roman" w:cs="Times New Roman"/>
          <w:sz w:val="28"/>
          <w:szCs w:val="28"/>
        </w:rPr>
        <w:t>муниципальным</w:t>
      </w:r>
      <w:r w:rsidRPr="002A4382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2A4382" w:rsidRPr="002A43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A4382">
        <w:rPr>
          <w:rFonts w:ascii="Times New Roman" w:hAnsi="Times New Roman" w:cs="Times New Roman"/>
          <w:sz w:val="28"/>
          <w:szCs w:val="28"/>
        </w:rPr>
        <w:t>;</w:t>
      </w:r>
    </w:p>
    <w:p w:rsidR="004609D1" w:rsidRPr="002A4382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82">
        <w:rPr>
          <w:rFonts w:ascii="Times New Roman" w:hAnsi="Times New Roman" w:cs="Times New Roman"/>
          <w:sz w:val="28"/>
          <w:szCs w:val="28"/>
        </w:rPr>
        <w:t xml:space="preserve">12) реквизиты нормативного правового акта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2A4382" w:rsidRPr="002A43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A4382">
        <w:rPr>
          <w:rFonts w:ascii="Times New Roman" w:hAnsi="Times New Roman" w:cs="Times New Roman"/>
          <w:sz w:val="28"/>
          <w:szCs w:val="28"/>
        </w:rPr>
        <w:t xml:space="preserve">, предусматривающего цель социально-экономической политики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2A4382" w:rsidRPr="002A43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A4382">
        <w:rPr>
          <w:rFonts w:ascii="Times New Roman" w:hAnsi="Times New Roman" w:cs="Times New Roman"/>
          <w:sz w:val="28"/>
          <w:szCs w:val="28"/>
        </w:rPr>
        <w:t xml:space="preserve">, не относящуюся к </w:t>
      </w:r>
      <w:r w:rsidR="00827FB0" w:rsidRPr="002A4382">
        <w:rPr>
          <w:rFonts w:ascii="Times New Roman" w:hAnsi="Times New Roman" w:cs="Times New Roman"/>
          <w:sz w:val="28"/>
          <w:szCs w:val="28"/>
        </w:rPr>
        <w:t>муниципальным</w:t>
      </w:r>
      <w:r w:rsidRPr="002A4382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2A4382" w:rsidRPr="002A43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A4382">
        <w:rPr>
          <w:rFonts w:ascii="Times New Roman" w:hAnsi="Times New Roman" w:cs="Times New Roman"/>
          <w:sz w:val="28"/>
          <w:szCs w:val="28"/>
        </w:rPr>
        <w:t>, а также наименование и значение показателя ее достижения;</w:t>
      </w:r>
    </w:p>
    <w:p w:rsidR="004609D1" w:rsidRPr="002A4382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82">
        <w:rPr>
          <w:rFonts w:ascii="Times New Roman" w:hAnsi="Times New Roman" w:cs="Times New Roman"/>
          <w:sz w:val="28"/>
          <w:szCs w:val="28"/>
        </w:rPr>
        <w:t xml:space="preserve">13) дата вступления в силу нормативного правового акта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2A4382" w:rsidRPr="002A43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A4382">
        <w:rPr>
          <w:rFonts w:ascii="Times New Roman" w:hAnsi="Times New Roman" w:cs="Times New Roman"/>
          <w:sz w:val="28"/>
          <w:szCs w:val="28"/>
        </w:rPr>
        <w:t>, устанавливающего налоговую льготу;</w:t>
      </w:r>
    </w:p>
    <w:p w:rsidR="009D3AB6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82">
        <w:rPr>
          <w:rFonts w:ascii="Times New Roman" w:hAnsi="Times New Roman" w:cs="Times New Roman"/>
          <w:sz w:val="28"/>
          <w:szCs w:val="28"/>
        </w:rPr>
        <w:t xml:space="preserve">14) дата вступления в силу нормативного правового акта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2A4382" w:rsidRPr="002A43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A4382">
        <w:rPr>
          <w:rFonts w:ascii="Times New Roman" w:hAnsi="Times New Roman" w:cs="Times New Roman"/>
          <w:sz w:val="28"/>
          <w:szCs w:val="28"/>
        </w:rPr>
        <w:t>, отменяющего налоговую льготу</w:t>
      </w:r>
    </w:p>
    <w:p w:rsidR="004609D1" w:rsidRPr="002A4382" w:rsidRDefault="0087395E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82">
        <w:rPr>
          <w:rFonts w:ascii="Times New Roman" w:hAnsi="Times New Roman" w:cs="Times New Roman"/>
          <w:sz w:val="28"/>
          <w:szCs w:val="28"/>
        </w:rPr>
        <w:t xml:space="preserve"> </w:t>
      </w:r>
      <w:r w:rsidR="004609D1" w:rsidRPr="002A4382">
        <w:rPr>
          <w:rFonts w:ascii="Times New Roman" w:hAnsi="Times New Roman" w:cs="Times New Roman"/>
          <w:sz w:val="28"/>
          <w:szCs w:val="28"/>
        </w:rPr>
        <w:t xml:space="preserve">(далее - информация, включенная в перечень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2A4382" w:rsidRPr="002A43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609D1" w:rsidRPr="002A4382">
        <w:rPr>
          <w:rFonts w:ascii="Times New Roman" w:hAnsi="Times New Roman" w:cs="Times New Roman"/>
          <w:sz w:val="28"/>
          <w:szCs w:val="28"/>
        </w:rPr>
        <w:t>).</w:t>
      </w:r>
    </w:p>
    <w:p w:rsidR="004609D1" w:rsidRPr="009F4C47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47">
        <w:rPr>
          <w:rFonts w:ascii="Times New Roman" w:hAnsi="Times New Roman" w:cs="Times New Roman"/>
          <w:sz w:val="28"/>
          <w:szCs w:val="28"/>
        </w:rPr>
        <w:t xml:space="preserve">5. Ежегодно, в срок до 01 ноября текущего года, </w:t>
      </w:r>
      <w:r w:rsidR="0087395E" w:rsidRPr="009F4C4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F4C47">
        <w:rPr>
          <w:rFonts w:ascii="Times New Roman" w:hAnsi="Times New Roman" w:cs="Times New Roman"/>
          <w:sz w:val="28"/>
          <w:szCs w:val="28"/>
        </w:rPr>
        <w:t xml:space="preserve"> разрабатывает проект перечня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9F4C47" w:rsidRPr="009F4C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4C4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направляет его на согласование кураторам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9F4C47" w:rsidRPr="009F4C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4C47">
        <w:rPr>
          <w:rFonts w:ascii="Times New Roman" w:hAnsi="Times New Roman" w:cs="Times New Roman"/>
          <w:sz w:val="28"/>
          <w:szCs w:val="28"/>
        </w:rPr>
        <w:t>.</w:t>
      </w:r>
    </w:p>
    <w:p w:rsidR="004609D1" w:rsidRPr="009F4C47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9F4C47">
        <w:rPr>
          <w:rFonts w:ascii="Times New Roman" w:hAnsi="Times New Roman" w:cs="Times New Roman"/>
          <w:sz w:val="28"/>
          <w:szCs w:val="28"/>
        </w:rPr>
        <w:t>6. Кураторы налоговых расходов</w:t>
      </w:r>
      <w:r w:rsidR="0087395E" w:rsidRPr="009F4C47">
        <w:rPr>
          <w:rFonts w:ascii="Times New Roman" w:hAnsi="Times New Roman" w:cs="Times New Roman"/>
          <w:sz w:val="28"/>
          <w:szCs w:val="28"/>
        </w:rPr>
        <w:t xml:space="preserve">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9F4C47" w:rsidRPr="009F4C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4C47">
        <w:rPr>
          <w:rFonts w:ascii="Times New Roman" w:hAnsi="Times New Roman" w:cs="Times New Roman"/>
          <w:sz w:val="28"/>
          <w:szCs w:val="28"/>
        </w:rPr>
        <w:t xml:space="preserve"> в срок до 10 ноября текущего финансового года рассматривают проект перечня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9F4C47" w:rsidRPr="009F4C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4C47">
        <w:rPr>
          <w:rFonts w:ascii="Times New Roman" w:hAnsi="Times New Roman" w:cs="Times New Roman"/>
          <w:sz w:val="28"/>
          <w:szCs w:val="28"/>
        </w:rPr>
        <w:t xml:space="preserve"> на предмет распределения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9F4C47" w:rsidRPr="009F4C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4C47">
        <w:rPr>
          <w:rFonts w:ascii="Times New Roman" w:hAnsi="Times New Roman" w:cs="Times New Roman"/>
          <w:sz w:val="28"/>
          <w:szCs w:val="28"/>
        </w:rPr>
        <w:t xml:space="preserve"> по целям </w:t>
      </w:r>
      <w:r w:rsidR="00827FB0" w:rsidRPr="009F4C47">
        <w:rPr>
          <w:rFonts w:ascii="Times New Roman" w:hAnsi="Times New Roman" w:cs="Times New Roman"/>
          <w:sz w:val="28"/>
          <w:szCs w:val="28"/>
        </w:rPr>
        <w:t>муниципальных</w:t>
      </w:r>
      <w:r w:rsidRPr="009F4C47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9F4C47" w:rsidRPr="009F4C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4C47">
        <w:rPr>
          <w:rFonts w:ascii="Times New Roman" w:hAnsi="Times New Roman" w:cs="Times New Roman"/>
          <w:sz w:val="28"/>
          <w:szCs w:val="28"/>
        </w:rPr>
        <w:t xml:space="preserve"> и (или) целям социально-экономической политики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9F4C47" w:rsidRPr="009F4C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4C47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827FB0" w:rsidRPr="009F4C47">
        <w:rPr>
          <w:rFonts w:ascii="Times New Roman" w:hAnsi="Times New Roman" w:cs="Times New Roman"/>
          <w:sz w:val="28"/>
          <w:szCs w:val="28"/>
        </w:rPr>
        <w:t>муниципальным</w:t>
      </w:r>
      <w:r w:rsidRPr="009F4C47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9F4C47" w:rsidRPr="009F4C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4C47">
        <w:rPr>
          <w:rFonts w:ascii="Times New Roman" w:hAnsi="Times New Roman" w:cs="Times New Roman"/>
          <w:sz w:val="28"/>
          <w:szCs w:val="28"/>
        </w:rPr>
        <w:t xml:space="preserve">, и информируют </w:t>
      </w:r>
      <w:r w:rsidR="009F4C47" w:rsidRPr="009F4C4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F4C47">
        <w:rPr>
          <w:rFonts w:ascii="Times New Roman" w:hAnsi="Times New Roman" w:cs="Times New Roman"/>
          <w:sz w:val="28"/>
          <w:szCs w:val="28"/>
        </w:rPr>
        <w:t xml:space="preserve"> о согласовании проекта перечня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9F4C47" w:rsidRPr="009F4C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4C47">
        <w:rPr>
          <w:rFonts w:ascii="Times New Roman" w:hAnsi="Times New Roman" w:cs="Times New Roman"/>
          <w:sz w:val="28"/>
          <w:szCs w:val="28"/>
        </w:rPr>
        <w:t>.</w:t>
      </w:r>
    </w:p>
    <w:p w:rsidR="004609D1" w:rsidRPr="009F4C47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47"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проекта перечня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9F4C47" w:rsidRPr="009F4C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4C47">
        <w:rPr>
          <w:rFonts w:ascii="Times New Roman" w:hAnsi="Times New Roman" w:cs="Times New Roman"/>
          <w:sz w:val="28"/>
          <w:szCs w:val="28"/>
        </w:rPr>
        <w:t xml:space="preserve"> не направлены соответствующим куратором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9F4C47" w:rsidRPr="009F4C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4C47">
        <w:rPr>
          <w:rFonts w:ascii="Times New Roman" w:hAnsi="Times New Roman" w:cs="Times New Roman"/>
          <w:sz w:val="28"/>
          <w:szCs w:val="28"/>
        </w:rPr>
        <w:t xml:space="preserve"> в </w:t>
      </w:r>
      <w:r w:rsidR="009F4C47" w:rsidRPr="009F4C4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F4C47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53" w:history="1">
        <w:r w:rsidRPr="009F4C4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9F4C47">
        <w:rPr>
          <w:rFonts w:ascii="Times New Roman" w:hAnsi="Times New Roman" w:cs="Times New Roman"/>
          <w:sz w:val="28"/>
          <w:szCs w:val="28"/>
        </w:rPr>
        <w:t xml:space="preserve"> настоящего пункта, то проект перечня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9F4C47" w:rsidRPr="009F4C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4C47">
        <w:rPr>
          <w:rFonts w:ascii="Times New Roman" w:hAnsi="Times New Roman" w:cs="Times New Roman"/>
          <w:sz w:val="28"/>
          <w:szCs w:val="28"/>
        </w:rPr>
        <w:t xml:space="preserve"> считается согласованным соответствующим куратором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9F4C47" w:rsidRPr="009F4C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4C47">
        <w:rPr>
          <w:rFonts w:ascii="Times New Roman" w:hAnsi="Times New Roman" w:cs="Times New Roman"/>
          <w:sz w:val="28"/>
          <w:szCs w:val="28"/>
        </w:rPr>
        <w:t>.</w:t>
      </w:r>
    </w:p>
    <w:p w:rsidR="004609D1" w:rsidRPr="00E32710" w:rsidRDefault="004609D1" w:rsidP="00E32710">
      <w:pPr>
        <w:pStyle w:val="a7"/>
        <w:tabs>
          <w:tab w:val="left" w:pos="708"/>
        </w:tabs>
        <w:ind w:firstLine="709"/>
        <w:jc w:val="both"/>
        <w:rPr>
          <w:szCs w:val="28"/>
        </w:rPr>
      </w:pPr>
      <w:bookmarkStart w:id="3" w:name="P55"/>
      <w:bookmarkEnd w:id="3"/>
      <w:r w:rsidRPr="00E32710">
        <w:rPr>
          <w:szCs w:val="28"/>
        </w:rPr>
        <w:t xml:space="preserve">7. Согласованный кураторами налоговых расходов </w:t>
      </w:r>
      <w:r w:rsidR="006815A8">
        <w:rPr>
          <w:szCs w:val="28"/>
        </w:rPr>
        <w:t>муниципального</w:t>
      </w:r>
      <w:r w:rsidR="009F4C47" w:rsidRPr="00E32710">
        <w:rPr>
          <w:szCs w:val="28"/>
        </w:rPr>
        <w:t xml:space="preserve"> округа</w:t>
      </w:r>
      <w:r w:rsidRPr="00E32710">
        <w:rPr>
          <w:szCs w:val="28"/>
        </w:rPr>
        <w:t xml:space="preserve"> перечень налоговых расходов </w:t>
      </w:r>
      <w:r w:rsidR="006815A8">
        <w:rPr>
          <w:szCs w:val="28"/>
        </w:rPr>
        <w:t>муниципального</w:t>
      </w:r>
      <w:r w:rsidR="009F4C47" w:rsidRPr="00E32710">
        <w:rPr>
          <w:szCs w:val="28"/>
        </w:rPr>
        <w:t xml:space="preserve"> округа</w:t>
      </w:r>
      <w:r w:rsidRPr="00E32710">
        <w:rPr>
          <w:szCs w:val="28"/>
        </w:rPr>
        <w:t xml:space="preserve"> утверждается приказом </w:t>
      </w:r>
      <w:r w:rsidR="009F4C47" w:rsidRPr="00E32710">
        <w:rPr>
          <w:szCs w:val="28"/>
        </w:rPr>
        <w:t>финансового управления</w:t>
      </w:r>
      <w:r w:rsidRPr="00E32710">
        <w:rPr>
          <w:szCs w:val="28"/>
        </w:rPr>
        <w:t>. Такой приказ размещается на</w:t>
      </w:r>
      <w:r w:rsidR="00E32710" w:rsidRPr="00E32710">
        <w:t xml:space="preserve"> официальном </w:t>
      </w:r>
      <w:r w:rsidR="00B012FB">
        <w:t xml:space="preserve">сайте </w:t>
      </w:r>
      <w:r w:rsidR="006815A8">
        <w:t>муниципального</w:t>
      </w:r>
      <w:r w:rsidR="00E32710" w:rsidRPr="00E32710">
        <w:t xml:space="preserve"> округа </w:t>
      </w:r>
      <w:r w:rsidR="00F94472" w:rsidRPr="00F94472">
        <w:rPr>
          <w:szCs w:val="28"/>
        </w:rPr>
        <w:t>в информационно-телекоммуникационной сети «Интернет»</w:t>
      </w:r>
      <w:r w:rsidR="00F94472">
        <w:rPr>
          <w:szCs w:val="28"/>
        </w:rPr>
        <w:t xml:space="preserve"> </w:t>
      </w:r>
      <w:r w:rsidRPr="00E32710">
        <w:rPr>
          <w:szCs w:val="28"/>
        </w:rPr>
        <w:t>не позднее 01 декабря текущего финансового года.</w:t>
      </w:r>
    </w:p>
    <w:p w:rsidR="004609D1" w:rsidRPr="00737AA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A1">
        <w:rPr>
          <w:rFonts w:ascii="Times New Roman" w:hAnsi="Times New Roman" w:cs="Times New Roman"/>
          <w:sz w:val="28"/>
          <w:szCs w:val="28"/>
        </w:rPr>
        <w:t xml:space="preserve">8. В случае несогласия с проектом перечня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4C6D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4C6D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 xml:space="preserve"> в срок, указанный в </w:t>
      </w:r>
      <w:hyperlink w:anchor="P53" w:history="1">
        <w:r w:rsidRPr="00737AA1">
          <w:rPr>
            <w:rFonts w:ascii="Times New Roman" w:hAnsi="Times New Roman" w:cs="Times New Roman"/>
            <w:sz w:val="28"/>
            <w:szCs w:val="28"/>
          </w:rPr>
          <w:t>абзаце первом пункта 6</w:t>
        </w:r>
      </w:hyperlink>
      <w:r w:rsidRPr="00737AA1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 в </w:t>
      </w:r>
      <w:r w:rsidR="00737AA1" w:rsidRPr="00737AA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737AA1">
        <w:rPr>
          <w:rFonts w:ascii="Times New Roman" w:hAnsi="Times New Roman" w:cs="Times New Roman"/>
          <w:sz w:val="28"/>
          <w:szCs w:val="28"/>
        </w:rPr>
        <w:t xml:space="preserve"> предложения по уточнению распределения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 xml:space="preserve"> по целям </w:t>
      </w:r>
      <w:r w:rsidR="00827FB0" w:rsidRPr="00737AA1">
        <w:rPr>
          <w:rFonts w:ascii="Times New Roman" w:hAnsi="Times New Roman" w:cs="Times New Roman"/>
          <w:sz w:val="28"/>
          <w:szCs w:val="28"/>
        </w:rPr>
        <w:t>муниципальных</w:t>
      </w:r>
      <w:r w:rsidRPr="00737AA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 xml:space="preserve"> и (или) целям социально-экономической политики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827FB0" w:rsidRPr="00737AA1">
        <w:rPr>
          <w:rFonts w:ascii="Times New Roman" w:hAnsi="Times New Roman" w:cs="Times New Roman"/>
          <w:sz w:val="28"/>
          <w:szCs w:val="28"/>
        </w:rPr>
        <w:t>муниципальным</w:t>
      </w:r>
      <w:r w:rsidRPr="00737AA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 xml:space="preserve">, и (или) предложения по изменению кураторов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 xml:space="preserve">, предусмотренных проектом перечня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 xml:space="preserve">. Предложения по изменению кураторов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 xml:space="preserve">, вносимые соответствующим куратором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 xml:space="preserve">, должны быть согласованы с предлагаемыми кураторами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>.</w:t>
      </w:r>
    </w:p>
    <w:p w:rsidR="004609D1" w:rsidRPr="00737AA1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737AA1">
        <w:rPr>
          <w:rFonts w:ascii="Times New Roman" w:hAnsi="Times New Roman" w:cs="Times New Roman"/>
          <w:sz w:val="28"/>
          <w:szCs w:val="28"/>
        </w:rPr>
        <w:t xml:space="preserve">9. В случае несогласия кураторов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 xml:space="preserve"> с проектом перечня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 xml:space="preserve"> и предложениями по изменению кураторов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 xml:space="preserve"> </w:t>
      </w:r>
      <w:r w:rsidR="00737AA1" w:rsidRPr="00737AA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737AA1">
        <w:rPr>
          <w:rFonts w:ascii="Times New Roman" w:hAnsi="Times New Roman" w:cs="Times New Roman"/>
          <w:sz w:val="28"/>
          <w:szCs w:val="28"/>
        </w:rPr>
        <w:t xml:space="preserve"> в срок до 20 ноября текущего финансового года обеспечивает проведение согласительных процедур с данными кураторами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737A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37AA1">
        <w:rPr>
          <w:rFonts w:ascii="Times New Roman" w:hAnsi="Times New Roman" w:cs="Times New Roman"/>
          <w:sz w:val="28"/>
          <w:szCs w:val="28"/>
        </w:rPr>
        <w:t>.</w:t>
      </w:r>
    </w:p>
    <w:p w:rsidR="004609D1" w:rsidRPr="00F94472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472">
        <w:rPr>
          <w:rFonts w:ascii="Times New Roman" w:hAnsi="Times New Roman" w:cs="Times New Roman"/>
          <w:sz w:val="28"/>
          <w:szCs w:val="28"/>
        </w:rPr>
        <w:t xml:space="preserve">По итогам завершения согласительных процедур, указанных в </w:t>
      </w:r>
      <w:hyperlink w:anchor="P57" w:history="1">
        <w:r w:rsidRPr="00F94472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F94472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737AA1" w:rsidRPr="00F9447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94472">
        <w:rPr>
          <w:rFonts w:ascii="Times New Roman" w:hAnsi="Times New Roman" w:cs="Times New Roman"/>
          <w:sz w:val="28"/>
          <w:szCs w:val="28"/>
        </w:rPr>
        <w:t xml:space="preserve"> утверждает своим приказом перечень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737AA1" w:rsidRPr="00F944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94472">
        <w:rPr>
          <w:rFonts w:ascii="Times New Roman" w:hAnsi="Times New Roman" w:cs="Times New Roman"/>
          <w:sz w:val="28"/>
          <w:szCs w:val="28"/>
        </w:rPr>
        <w:t xml:space="preserve"> и размещает такой приказ </w:t>
      </w:r>
      <w:r w:rsidR="00737AA1" w:rsidRPr="00F94472">
        <w:rPr>
          <w:rFonts w:ascii="Times New Roman" w:hAnsi="Times New Roman" w:cs="Times New Roman"/>
          <w:sz w:val="28"/>
          <w:szCs w:val="28"/>
        </w:rPr>
        <w:t xml:space="preserve">на  официальном </w:t>
      </w:r>
      <w:r w:rsidR="00BA259C">
        <w:rPr>
          <w:rFonts w:ascii="Times New Roman" w:hAnsi="Times New Roman" w:cs="Times New Roman"/>
          <w:sz w:val="28"/>
          <w:szCs w:val="28"/>
        </w:rPr>
        <w:t>сайте му</w:t>
      </w:r>
      <w:r w:rsidR="006815A8">
        <w:rPr>
          <w:rFonts w:ascii="Times New Roman" w:hAnsi="Times New Roman" w:cs="Times New Roman"/>
          <w:sz w:val="28"/>
          <w:szCs w:val="28"/>
        </w:rPr>
        <w:t>ниципального</w:t>
      </w:r>
      <w:r w:rsidR="00737AA1" w:rsidRPr="00F944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2887" w:rsidRPr="00D32887">
        <w:rPr>
          <w:rFonts w:ascii="Times New Roman" w:hAnsi="Times New Roman" w:cs="Times New Roman"/>
          <w:sz w:val="28"/>
          <w:szCs w:val="28"/>
        </w:rPr>
        <w:t xml:space="preserve"> </w:t>
      </w:r>
      <w:r w:rsidR="00D32887" w:rsidRPr="00F9447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737AA1" w:rsidRPr="00F94472">
        <w:rPr>
          <w:rFonts w:ascii="Times New Roman" w:hAnsi="Times New Roman" w:cs="Times New Roman"/>
          <w:sz w:val="28"/>
          <w:szCs w:val="28"/>
        </w:rPr>
        <w:t xml:space="preserve"> </w:t>
      </w:r>
      <w:r w:rsidRPr="00F94472">
        <w:rPr>
          <w:rFonts w:ascii="Times New Roman" w:hAnsi="Times New Roman" w:cs="Times New Roman"/>
          <w:sz w:val="28"/>
          <w:szCs w:val="28"/>
        </w:rPr>
        <w:t xml:space="preserve">в срок, указанный в </w:t>
      </w:r>
      <w:hyperlink w:anchor="P55" w:history="1">
        <w:r w:rsidRPr="00F9447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F9447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609D1" w:rsidRPr="00F94472" w:rsidRDefault="004609D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9"/>
      <w:bookmarkEnd w:id="5"/>
      <w:r w:rsidRPr="00F94472">
        <w:rPr>
          <w:rFonts w:ascii="Times New Roman" w:hAnsi="Times New Roman" w:cs="Times New Roman"/>
          <w:sz w:val="28"/>
          <w:szCs w:val="28"/>
        </w:rPr>
        <w:t xml:space="preserve">10. В случае изменения информации, включенной в перечень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F94472" w:rsidRPr="00F944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94472">
        <w:rPr>
          <w:rFonts w:ascii="Times New Roman" w:hAnsi="Times New Roman" w:cs="Times New Roman"/>
          <w:sz w:val="28"/>
          <w:szCs w:val="28"/>
        </w:rPr>
        <w:t xml:space="preserve"> (по причине принятия нормативного правового акта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F94472" w:rsidRPr="00F944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94472">
        <w:rPr>
          <w:rFonts w:ascii="Times New Roman" w:hAnsi="Times New Roman" w:cs="Times New Roman"/>
          <w:sz w:val="28"/>
          <w:szCs w:val="28"/>
        </w:rPr>
        <w:t xml:space="preserve">, предусматривающего введение и (или) отмену налоговой льготы, изменение срока действия налоговой льготы, понижение налоговых ставок, внесение изменений в </w:t>
      </w:r>
      <w:r w:rsidR="00F94472" w:rsidRPr="00F94472">
        <w:rPr>
          <w:rFonts w:ascii="Times New Roman" w:hAnsi="Times New Roman" w:cs="Times New Roman"/>
          <w:sz w:val="28"/>
          <w:szCs w:val="28"/>
        </w:rPr>
        <w:t>муниципальную</w:t>
      </w:r>
      <w:r w:rsidRPr="00F94472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F94472" w:rsidRPr="00F944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94472">
        <w:rPr>
          <w:rFonts w:ascii="Times New Roman" w:hAnsi="Times New Roman" w:cs="Times New Roman"/>
          <w:sz w:val="28"/>
          <w:szCs w:val="28"/>
        </w:rPr>
        <w:t xml:space="preserve">, перераспределение полномочий между кураторами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F94472" w:rsidRPr="00F944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94472">
        <w:rPr>
          <w:rFonts w:ascii="Times New Roman" w:hAnsi="Times New Roman" w:cs="Times New Roman"/>
          <w:sz w:val="28"/>
          <w:szCs w:val="28"/>
        </w:rPr>
        <w:t xml:space="preserve">), кураторы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F94472" w:rsidRPr="00F944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94472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вступления в силу нормативного правового акта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F94472" w:rsidRPr="00F944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94472">
        <w:rPr>
          <w:rFonts w:ascii="Times New Roman" w:hAnsi="Times New Roman" w:cs="Times New Roman"/>
          <w:sz w:val="28"/>
          <w:szCs w:val="28"/>
        </w:rPr>
        <w:t xml:space="preserve">, предусматривающего соответствующие изменения, направляют в </w:t>
      </w:r>
      <w:r w:rsidR="00F94472" w:rsidRPr="00F9447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94472">
        <w:rPr>
          <w:rFonts w:ascii="Times New Roman" w:hAnsi="Times New Roman" w:cs="Times New Roman"/>
          <w:sz w:val="28"/>
          <w:szCs w:val="28"/>
        </w:rPr>
        <w:t xml:space="preserve"> информацию о необходимости внесения изменений в перечень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F94472" w:rsidRPr="00F944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94472">
        <w:rPr>
          <w:rFonts w:ascii="Times New Roman" w:hAnsi="Times New Roman" w:cs="Times New Roman"/>
          <w:sz w:val="28"/>
          <w:szCs w:val="28"/>
        </w:rPr>
        <w:t>.</w:t>
      </w:r>
    </w:p>
    <w:p w:rsidR="004609D1" w:rsidRDefault="004609D1" w:rsidP="00D32887">
      <w:pPr>
        <w:pStyle w:val="ConsPlusNormal"/>
        <w:ind w:firstLine="709"/>
        <w:jc w:val="both"/>
        <w:rPr>
          <w:sz w:val="28"/>
          <w:szCs w:val="28"/>
        </w:rPr>
      </w:pPr>
      <w:r w:rsidRPr="00F94472">
        <w:rPr>
          <w:rFonts w:ascii="Times New Roman" w:hAnsi="Times New Roman" w:cs="Times New Roman"/>
          <w:sz w:val="28"/>
          <w:szCs w:val="28"/>
        </w:rPr>
        <w:t xml:space="preserve">11. </w:t>
      </w:r>
      <w:r w:rsidR="00F94472" w:rsidRPr="00F9447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94472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получения </w:t>
      </w:r>
      <w:r w:rsidR="00F94472" w:rsidRPr="00F94472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F94472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9" w:history="1">
        <w:r w:rsidRPr="005A39FA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5A39FA">
        <w:rPr>
          <w:rFonts w:ascii="Times New Roman" w:hAnsi="Times New Roman" w:cs="Times New Roman"/>
          <w:sz w:val="28"/>
          <w:szCs w:val="28"/>
        </w:rPr>
        <w:t xml:space="preserve"> н</w:t>
      </w:r>
      <w:r w:rsidRPr="00F94472">
        <w:rPr>
          <w:rFonts w:ascii="Times New Roman" w:hAnsi="Times New Roman" w:cs="Times New Roman"/>
          <w:sz w:val="28"/>
          <w:szCs w:val="28"/>
        </w:rPr>
        <w:t xml:space="preserve">астоящего Порядка, утверждает своим приказом соответствующие изменения, вносимые в перечень налоговых расходов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F94472" w:rsidRPr="00F944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94472">
        <w:rPr>
          <w:rFonts w:ascii="Times New Roman" w:hAnsi="Times New Roman" w:cs="Times New Roman"/>
          <w:sz w:val="28"/>
          <w:szCs w:val="28"/>
        </w:rPr>
        <w:t xml:space="preserve">, и размещает такой приказ </w:t>
      </w:r>
      <w:r w:rsidR="00F94472" w:rsidRPr="00F94472">
        <w:rPr>
          <w:rFonts w:ascii="Times New Roman" w:hAnsi="Times New Roman" w:cs="Times New Roman"/>
          <w:sz w:val="28"/>
          <w:szCs w:val="28"/>
        </w:rPr>
        <w:t xml:space="preserve">на  официальном </w:t>
      </w:r>
      <w:r w:rsidR="00D32887">
        <w:rPr>
          <w:rFonts w:ascii="Times New Roman" w:hAnsi="Times New Roman" w:cs="Times New Roman"/>
          <w:sz w:val="28"/>
          <w:szCs w:val="28"/>
        </w:rPr>
        <w:t>сайте</w:t>
      </w:r>
      <w:r w:rsidR="00F94472" w:rsidRPr="00F94472">
        <w:rPr>
          <w:rFonts w:ascii="Times New Roman" w:hAnsi="Times New Roman" w:cs="Times New Roman"/>
          <w:sz w:val="28"/>
          <w:szCs w:val="28"/>
        </w:rPr>
        <w:t xml:space="preserve"> </w:t>
      </w:r>
      <w:r w:rsidR="006815A8">
        <w:rPr>
          <w:rFonts w:ascii="Times New Roman" w:hAnsi="Times New Roman" w:cs="Times New Roman"/>
          <w:sz w:val="28"/>
          <w:szCs w:val="28"/>
        </w:rPr>
        <w:t>муниципального</w:t>
      </w:r>
      <w:r w:rsidR="00F94472" w:rsidRPr="00F94472">
        <w:rPr>
          <w:rFonts w:ascii="Times New Roman" w:hAnsi="Times New Roman" w:cs="Times New Roman"/>
          <w:sz w:val="28"/>
          <w:szCs w:val="28"/>
        </w:rPr>
        <w:t xml:space="preserve"> округа в информационно-телекоммуникационной сети «Интернет</w:t>
      </w:r>
      <w:r w:rsidR="00D32887">
        <w:rPr>
          <w:rFonts w:ascii="Times New Roman" w:hAnsi="Times New Roman" w:cs="Times New Roman"/>
          <w:sz w:val="28"/>
          <w:szCs w:val="28"/>
        </w:rPr>
        <w:t>»</w:t>
      </w:r>
      <w:r w:rsidRPr="00F94472">
        <w:rPr>
          <w:rFonts w:ascii="Times New Roman" w:hAnsi="Times New Roman" w:cs="Times New Roman"/>
          <w:sz w:val="28"/>
          <w:szCs w:val="28"/>
        </w:rPr>
        <w:t>.</w:t>
      </w:r>
    </w:p>
    <w:p w:rsidR="006B7999" w:rsidRDefault="006B7999" w:rsidP="006B7999">
      <w:pPr>
        <w:tabs>
          <w:tab w:val="left" w:pos="6345"/>
        </w:tabs>
        <w:jc w:val="both"/>
        <w:rPr>
          <w:sz w:val="28"/>
          <w:szCs w:val="28"/>
        </w:rPr>
      </w:pPr>
    </w:p>
    <w:p w:rsidR="006B7999" w:rsidRDefault="006B7999" w:rsidP="006B7999">
      <w:pPr>
        <w:tabs>
          <w:tab w:val="left" w:pos="6345"/>
        </w:tabs>
        <w:jc w:val="both"/>
        <w:rPr>
          <w:sz w:val="28"/>
          <w:szCs w:val="28"/>
        </w:rPr>
      </w:pPr>
    </w:p>
    <w:p w:rsidR="006B7999" w:rsidRDefault="006B7999" w:rsidP="006B7999">
      <w:pPr>
        <w:tabs>
          <w:tab w:val="left" w:pos="6345"/>
        </w:tabs>
        <w:jc w:val="both"/>
        <w:rPr>
          <w:sz w:val="28"/>
          <w:szCs w:val="28"/>
        </w:rPr>
      </w:pPr>
    </w:p>
    <w:p w:rsidR="006B7999" w:rsidRDefault="006B7999" w:rsidP="006B7999">
      <w:pPr>
        <w:tabs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-</w:t>
      </w:r>
    </w:p>
    <w:p w:rsidR="006B7999" w:rsidRDefault="006B7999" w:rsidP="006B7999">
      <w:pPr>
        <w:tabs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6B7999" w:rsidRDefault="006B7999" w:rsidP="006B7999">
      <w:pPr>
        <w:tabs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Новоалександровского  </w:t>
      </w:r>
    </w:p>
    <w:p w:rsidR="006B7999" w:rsidRDefault="006B7999" w:rsidP="006B7999">
      <w:pPr>
        <w:tabs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4C6628" w:rsidRPr="004609D1" w:rsidRDefault="006B7999" w:rsidP="006B7999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И.В. Неровнов</w:t>
      </w:r>
    </w:p>
    <w:p w:rsidR="00A115A1" w:rsidRPr="004609D1" w:rsidRDefault="00A115A1" w:rsidP="0046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15A1" w:rsidRPr="004609D1" w:rsidSect="00FB682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46A51"/>
    <w:multiLevelType w:val="hybridMultilevel"/>
    <w:tmpl w:val="4490999C"/>
    <w:lvl w:ilvl="0" w:tplc="90FEC2B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19"/>
    <w:rsid w:val="000505BA"/>
    <w:rsid w:val="00131135"/>
    <w:rsid w:val="001661B5"/>
    <w:rsid w:val="001A0C19"/>
    <w:rsid w:val="001E6F16"/>
    <w:rsid w:val="001F4A31"/>
    <w:rsid w:val="0020421B"/>
    <w:rsid w:val="002226AF"/>
    <w:rsid w:val="00234544"/>
    <w:rsid w:val="00285612"/>
    <w:rsid w:val="0028623B"/>
    <w:rsid w:val="002A3296"/>
    <w:rsid w:val="002A4382"/>
    <w:rsid w:val="002B11DB"/>
    <w:rsid w:val="002D6BC9"/>
    <w:rsid w:val="003B445D"/>
    <w:rsid w:val="003E640F"/>
    <w:rsid w:val="003F03B6"/>
    <w:rsid w:val="004432F2"/>
    <w:rsid w:val="004609D1"/>
    <w:rsid w:val="004C6628"/>
    <w:rsid w:val="004C6DA1"/>
    <w:rsid w:val="004E48D8"/>
    <w:rsid w:val="004F2C1C"/>
    <w:rsid w:val="00540A3C"/>
    <w:rsid w:val="005724F8"/>
    <w:rsid w:val="005A39FA"/>
    <w:rsid w:val="00600623"/>
    <w:rsid w:val="00646F3B"/>
    <w:rsid w:val="006549E9"/>
    <w:rsid w:val="006815A8"/>
    <w:rsid w:val="00681DC9"/>
    <w:rsid w:val="006B7999"/>
    <w:rsid w:val="006F56D1"/>
    <w:rsid w:val="00737AA1"/>
    <w:rsid w:val="00755AE9"/>
    <w:rsid w:val="00775860"/>
    <w:rsid w:val="007B0677"/>
    <w:rsid w:val="0080126B"/>
    <w:rsid w:val="00827FB0"/>
    <w:rsid w:val="008527D6"/>
    <w:rsid w:val="00865BD9"/>
    <w:rsid w:val="0087395E"/>
    <w:rsid w:val="00874BC8"/>
    <w:rsid w:val="008E321B"/>
    <w:rsid w:val="009D3AB6"/>
    <w:rsid w:val="009D3FA8"/>
    <w:rsid w:val="009F4C47"/>
    <w:rsid w:val="00A115A1"/>
    <w:rsid w:val="00A20AB1"/>
    <w:rsid w:val="00A227D2"/>
    <w:rsid w:val="00A44B1A"/>
    <w:rsid w:val="00A52524"/>
    <w:rsid w:val="00AB6D3A"/>
    <w:rsid w:val="00B012FB"/>
    <w:rsid w:val="00B10842"/>
    <w:rsid w:val="00B15D24"/>
    <w:rsid w:val="00B216F7"/>
    <w:rsid w:val="00B31DE4"/>
    <w:rsid w:val="00B622DF"/>
    <w:rsid w:val="00B743DF"/>
    <w:rsid w:val="00BA259C"/>
    <w:rsid w:val="00BB4D39"/>
    <w:rsid w:val="00C14EBD"/>
    <w:rsid w:val="00C86408"/>
    <w:rsid w:val="00C97984"/>
    <w:rsid w:val="00D14E34"/>
    <w:rsid w:val="00D277A2"/>
    <w:rsid w:val="00D32887"/>
    <w:rsid w:val="00D44186"/>
    <w:rsid w:val="00DF5D9F"/>
    <w:rsid w:val="00E32710"/>
    <w:rsid w:val="00E41A63"/>
    <w:rsid w:val="00E51426"/>
    <w:rsid w:val="00EC0562"/>
    <w:rsid w:val="00F036B9"/>
    <w:rsid w:val="00F17836"/>
    <w:rsid w:val="00F40FD9"/>
    <w:rsid w:val="00F825CC"/>
    <w:rsid w:val="00F84D76"/>
    <w:rsid w:val="00F94472"/>
    <w:rsid w:val="00FA1347"/>
    <w:rsid w:val="00FA3A46"/>
    <w:rsid w:val="00FB682A"/>
    <w:rsid w:val="00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7885"/>
  <w15:chartTrackingRefBased/>
  <w15:docId w15:val="{C27C6D82-B976-45B9-A30D-496BFF7A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17836"/>
    <w:pPr>
      <w:keepNext/>
      <w:numPr>
        <w:ilvl w:val="1"/>
        <w:numId w:val="1"/>
      </w:numPr>
      <w:suppressAutoHyphens/>
      <w:autoSpaceDE w:val="0"/>
      <w:jc w:val="center"/>
      <w:outlineLvl w:val="1"/>
    </w:pPr>
    <w:rPr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B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0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0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0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836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44B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B1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44B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9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9E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E3271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E327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4BB9F9C30825C5AE27A6E167DDB12182273E70C16FC813E36EC91D72D016C65B66B3AD10363E31D80C6C4812218B07D9AFB0DC50EDzBA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Галина Петренко</cp:lastModifiedBy>
  <cp:revision>13</cp:revision>
  <cp:lastPrinted>2024-03-11T14:52:00Z</cp:lastPrinted>
  <dcterms:created xsi:type="dcterms:W3CDTF">2019-11-21T14:50:00Z</dcterms:created>
  <dcterms:modified xsi:type="dcterms:W3CDTF">2024-04-11T07:27:00Z</dcterms:modified>
</cp:coreProperties>
</file>