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="00BF1E16" w:rsidRPr="00BF1E16">
        <w:rPr>
          <w:rFonts w:ascii="Times New Roman" w:hAnsi="Times New Roman" w:cs="Times New Roman"/>
          <w:b/>
          <w:sz w:val="28"/>
          <w:szCs w:val="28"/>
        </w:rPr>
        <w:t>по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E684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дека</w:t>
      </w:r>
      <w:r w:rsidR="000C2829">
        <w:rPr>
          <w:rFonts w:ascii="Times New Roman" w:hAnsi="Times New Roman" w:cs="Times New Roman"/>
          <w:sz w:val="28"/>
          <w:szCs w:val="28"/>
        </w:rPr>
        <w:t xml:space="preserve">бря 2020 года       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  </w:t>
      </w:r>
      <w:r w:rsidR="00FE684E">
        <w:rPr>
          <w:rFonts w:ascii="Times New Roman" w:hAnsi="Times New Roman" w:cs="Times New Roman"/>
          <w:sz w:val="28"/>
          <w:szCs w:val="28"/>
        </w:rPr>
        <w:t xml:space="preserve">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684E">
        <w:rPr>
          <w:rFonts w:ascii="Times New Roman" w:hAnsi="Times New Roman" w:cs="Times New Roman"/>
          <w:sz w:val="28"/>
          <w:szCs w:val="28"/>
        </w:rPr>
        <w:t>пос. Встречный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E684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E68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№ </w:t>
      </w:r>
      <w:r w:rsidR="00FE684E">
        <w:rPr>
          <w:rFonts w:ascii="Times New Roman" w:hAnsi="Times New Roman" w:cs="Times New Roman"/>
          <w:sz w:val="28"/>
          <w:szCs w:val="28"/>
        </w:rPr>
        <w:t>4</w:t>
      </w:r>
      <w:r w:rsidR="00AF0432">
        <w:rPr>
          <w:rFonts w:ascii="Times New Roman" w:hAnsi="Times New Roman" w:cs="Times New Roman"/>
          <w:sz w:val="28"/>
          <w:szCs w:val="28"/>
        </w:rPr>
        <w:t>1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proofErr w:type="gramStart"/>
      <w:r w:rsidR="00FE684E" w:rsidRPr="00FE684E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пос. Встречный, ул. Солдатская, 2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FE684E" w:rsidRPr="00FE684E">
        <w:rPr>
          <w:rFonts w:ascii="Times New Roman" w:hAnsi="Times New Roman" w:cs="Times New Roman"/>
          <w:sz w:val="28"/>
          <w:szCs w:val="28"/>
        </w:rPr>
        <w:t>на территории пос. Встречный</w:t>
      </w:r>
      <w:r w:rsidR="001541F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11F" w:rsidRDefault="00BF1E16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>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sz w:val="28"/>
          <w:szCs w:val="28"/>
        </w:rPr>
        <w:t>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9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 w:rsidR="00C5465C">
        <w:rPr>
          <w:rFonts w:ascii="Times New Roman" w:hAnsi="Times New Roman" w:cs="Times New Roman"/>
          <w:sz w:val="28"/>
          <w:szCs w:val="28"/>
        </w:rPr>
        <w:t>13</w:t>
      </w:r>
      <w:r w:rsid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C5465C">
        <w:rPr>
          <w:rFonts w:ascii="Times New Roman" w:hAnsi="Times New Roman" w:cs="Times New Roman"/>
          <w:sz w:val="28"/>
          <w:szCs w:val="28"/>
        </w:rPr>
        <w:t>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B552CD">
        <w:rPr>
          <w:rFonts w:ascii="Times New Roman" w:hAnsi="Times New Roman" w:cs="Times New Roman"/>
          <w:sz w:val="28"/>
          <w:szCs w:val="28"/>
        </w:rPr>
        <w:t>1</w:t>
      </w:r>
      <w:r w:rsidR="00FE684E">
        <w:rPr>
          <w:rFonts w:ascii="Times New Roman" w:hAnsi="Times New Roman" w:cs="Times New Roman"/>
          <w:sz w:val="28"/>
          <w:szCs w:val="28"/>
        </w:rPr>
        <w:t>9</w:t>
      </w:r>
      <w:r w:rsidR="00B552CD">
        <w:rPr>
          <w:rFonts w:ascii="Times New Roman" w:hAnsi="Times New Roman" w:cs="Times New Roman"/>
          <w:sz w:val="28"/>
          <w:szCs w:val="28"/>
        </w:rPr>
        <w:t>:</w:t>
      </w:r>
      <w:r w:rsidR="00AF0432">
        <w:rPr>
          <w:rFonts w:ascii="Times New Roman" w:hAnsi="Times New Roman" w:cs="Times New Roman"/>
          <w:sz w:val="28"/>
          <w:szCs w:val="28"/>
        </w:rPr>
        <w:t>0</w:t>
      </w:r>
      <w:r w:rsidR="00B552C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030A3E" w:rsidRPr="00030A3E" w:rsidRDefault="00C5465C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030A3E" w:rsidRPr="00030A3E" w:rsidRDefault="00030A3E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>Журавлев Юрий Анатольевич - председатель постоянной комиссии по вопросам жилищно –коммунального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030A3E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 w:rsidR="00C5465C"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C5465C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465C" w:rsidRPr="00030A3E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3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</w:t>
      </w:r>
      <w:r w:rsidR="00BF1E16" w:rsidRPr="00BF1E16">
        <w:rPr>
          <w:rFonts w:ascii="Times New Roman" w:hAnsi="Times New Roman" w:cs="Times New Roman"/>
          <w:sz w:val="28"/>
          <w:szCs w:val="28"/>
        </w:rPr>
        <w:t>проект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генерального плана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BF1E16" w:rsidRDefault="00726F94" w:rsidP="00BF1E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BF1E16" w:rsidRPr="00BF1E16">
        <w:rPr>
          <w:rFonts w:ascii="Times New Roman" w:hAnsi="Times New Roman" w:cs="Times New Roman"/>
          <w:sz w:val="28"/>
          <w:szCs w:val="28"/>
        </w:rPr>
        <w:t>Колтунов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F1E16"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BF1E16">
        <w:rPr>
          <w:rFonts w:ascii="Times New Roman" w:hAnsi="Times New Roman" w:cs="Times New Roman"/>
          <w:sz w:val="28"/>
          <w:szCs w:val="28"/>
        </w:rPr>
        <w:t xml:space="preserve">- </w:t>
      </w:r>
      <w:r w:rsidR="00BF1E16" w:rsidRPr="00BF1E16">
        <w:rPr>
          <w:rFonts w:ascii="Times New Roman" w:hAnsi="Times New Roman" w:cs="Times New Roman"/>
          <w:sz w:val="28"/>
          <w:szCs w:val="28"/>
        </w:rPr>
        <w:t>начальник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 w:rsidR="00BF1E16">
        <w:rPr>
          <w:rFonts w:ascii="Times New Roman" w:hAnsi="Times New Roman" w:cs="Times New Roman"/>
          <w:sz w:val="28"/>
          <w:szCs w:val="28"/>
        </w:rPr>
        <w:t>ого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 w:rsidR="00BF1E16">
        <w:rPr>
          <w:rFonts w:ascii="Times New Roman" w:hAnsi="Times New Roman" w:cs="Times New Roman"/>
          <w:sz w:val="28"/>
          <w:szCs w:val="28"/>
        </w:rPr>
        <w:t xml:space="preserve">а </w:t>
      </w:r>
      <w:r w:rsidR="00BF1E16"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, з</w:t>
      </w:r>
      <w:r w:rsidR="00BF1E16" w:rsidRPr="00BF1E16">
        <w:rPr>
          <w:rFonts w:ascii="Times New Roman" w:hAnsi="Times New Roman" w:cs="Times New Roman"/>
          <w:sz w:val="28"/>
          <w:szCs w:val="28"/>
        </w:rPr>
        <w:t>аместител</w:t>
      </w:r>
      <w:r w:rsidR="00BF1E16">
        <w:rPr>
          <w:rFonts w:ascii="Times New Roman" w:hAnsi="Times New Roman" w:cs="Times New Roman"/>
          <w:sz w:val="28"/>
          <w:szCs w:val="28"/>
        </w:rPr>
        <w:t>я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884D03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F1E16">
        <w:rPr>
          <w:rFonts w:ascii="Times New Roman" w:hAnsi="Times New Roman" w:cs="Times New Roman"/>
          <w:sz w:val="28"/>
          <w:szCs w:val="28"/>
        </w:rPr>
        <w:t xml:space="preserve">Колтунов Эдуард Александрович, 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 w:rsidR="00A326B3"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</w:t>
      </w:r>
      <w:bookmarkStart w:id="0" w:name="OLE_LINK28"/>
      <w:bookmarkStart w:id="1" w:name="OLE_LINK29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генерального плана </w:t>
      </w:r>
      <w:bookmarkEnd w:id="0"/>
      <w:bookmarkEnd w:id="1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 городского округа Ставропольского края выполнена в соответствии с техническим заданием на проектирование и градостроительным кодексом РФ.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 генерального плана состоит из 2 частей: материалов по обоснованию и положения о территориальном планировании.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ПАРАМЕТРЫ ГЕНЕРАЛЬНОГО ПЛАНА</w:t>
      </w:r>
    </w:p>
    <w:p w:rsidR="00BF1E16" w:rsidRPr="00BF1E16" w:rsidRDefault="00BF1E16" w:rsidP="00F030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Проектные решения предусмотрены на расчетный срок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2040 г.</w:t>
      </w: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выделением первоочередных мероприятий на срок 10 лет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(2030 г.).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предлагается совершенствование функционального зонирования территории населенных пунктов муниципального образования. 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площадь муниципального образования 201717,00 га. Подавляющая часть ее приходится на земли сельскохозяйст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венного назначения (более 85%).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Изменение демографических показателей Новоалександровского городского округа в значительной степени зависит от успешного решения задач социально-экономического развития, включая обеспечение стабильного экономического роста и роста благосостояния населения, создание эффективной социальной инфраструктуры (здравоохранение, образование, культура и физическая культуры и спорт), рынка доступного жилья и гибкого рынка труда.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Перспективную численность населения определяют два фактора – естественное и миграционное движение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F1E16">
        <w:rPr>
          <w:rFonts w:ascii="Times New Roman" w:eastAsia="Calibri" w:hAnsi="Times New Roman" w:cs="Times New Roman"/>
          <w:sz w:val="28"/>
          <w:szCs w:val="28"/>
        </w:rPr>
        <w:t>омпани</w:t>
      </w:r>
      <w:r>
        <w:rPr>
          <w:rFonts w:ascii="Times New Roman" w:eastAsia="Calibri" w:hAnsi="Times New Roman" w:cs="Times New Roman"/>
          <w:sz w:val="28"/>
          <w:szCs w:val="28"/>
        </w:rPr>
        <w:t>ей</w:t>
      </w:r>
      <w:r w:rsidRPr="00BF1E16">
        <w:rPr>
          <w:rFonts w:ascii="Times New Roman" w:eastAsia="Calibri" w:hAnsi="Times New Roman" w:cs="Times New Roman"/>
          <w:sz w:val="28"/>
          <w:szCs w:val="28"/>
        </w:rPr>
        <w:t xml:space="preserve"> КАРТФОНД был предложен средний вариант прогноза, как наиболее реалистичного сценария развития Новоалександровского городского округа.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48462365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базовому среднему варианту на первую очередь прогнозирования численность к 2030 г. сократится на 2,5 тыс. чел. Это проявится при сохранении современной демографической ситуации, которая зависит от определяющих ее уровня рождаемости, смертности, естественной и миграционной убыли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население территорий, входящих в состав округа на протяжении прогнозируемого периода (2020-2040 гг.) будет вести себя разнонаправлено. Так к расчетному сроку более чем на 10% сократится население Горьковского, Григорополисского, Присадового, Радужского, Светлинского и Темижбекского территориальных отделов. </w:t>
      </w:r>
      <w:bookmarkStart w:id="3" w:name="_Hlk48558357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Положительная динамика предполагается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Кармалиновском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Краснозоринском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Раздольненском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Расшеватском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ТО, для которых характерны более благоприятные демографические показатели. Негативной следует считать тенденцию сокращения численности населения на 5,9% в Новоалександровском отделе, на территории которого расположен центр округа.</w:t>
      </w:r>
    </w:p>
    <w:bookmarkEnd w:id="2"/>
    <w:bookmarkEnd w:id="3"/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ПЛОЩАДКИ НОВОГО ЖИЛИЩНОГО СТРОИТЕЛЬСТВА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Проектом генерального плана Новоалександровского городского округа предполагается выделение на первую очередь и расчетный срок генерального плана земельных участков под жилую застройку общей площадью 104,2 га.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Учитывая сложившиеся в округе тенденции, будет преобладать индивидуальная и малоэтажная жилая застройка. Более половины всех резервируемых земель для жилищного строительства находится в границах города Новоалександровска. 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Жилищное строительство также получит свое развитие и в других населенных пунктах городского округа. Наибольшие площади зарезервированы в станице Расшеватской – 14,3 га под индивидуальное жилищное строительство (ИЖС), село Раздольное – 8 га (ИЖС), п. Горьковский – 8,8 га (ИЖС). В остальных населенных пунктах более скромные по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ar-SA"/>
        </w:rPr>
        <w:t>казатели резервирования земель.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Весь новый жилищный фонд муниципального образования формируется за счет малоэтажной усадебной (коттеджной) застройки.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Территория городского округа сегодня является одной из наиболее востребованных у инвесторов в сфере сельского хозяйства и агропромышленного производства. На территории Новоалександровского городского округа предусмотрено 7 инвестиционных проектов, и 9 инвестиционных площадок. 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ОБЪЕКТОВ СОЦИАЛЬНОЙ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генерального плана предусмотрено 37 объектов социальной инфраструктуры местного значения различного направления. Наибольшее число объектов направлено на создание новых объектов спорта. Наиболее значимые объекты социальной инфраструктуры: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образования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ДОУ на 105 мест в г. Новоалександровске, ул. Присадовая;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корпуса в детском саду № 17 «Светлячок», 80 мест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Григорополисская, ул. Светлая, 1.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культуры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дополнительного корпуса «Детской музыкальной школы, площадью 0,2 га;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школы искусств, 250 мест в г. Новоалександровск, пер. Новый.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3 новых СДК, а также реконструкция одного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Расшеватской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спорта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ипподрома на 5000 мест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площадки для картинга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бассейна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многофункциональных площадок (в всех центрах бывших муниципалитетов).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</w:t>
      </w:r>
      <w:r w:rsidR="006345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ПРИЯТИЯ ПО РАЗВИТИЮ ТРАНСПРТНОЙ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ИНФРАСТРУКТУРЫ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Больше всего объектов местного значения направлены на улучшение транспортной ситуации округа, а также усилению внутренних взаимосвязей между поселениями и соседними округами.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предусмотрено 296 объектов местного значения. Весь перечень представлен в Томе 1. Положение о территориальном планировании, пункт 1.3. Объекты транспортной инфраструктуры.</w:t>
      </w:r>
    </w:p>
    <w:p w:rsidR="00BF1E16" w:rsidRPr="00BF1E16" w:rsidRDefault="00BF1E16" w:rsidP="00F030CE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ИНЖЕНЕРНОЙ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Водоснабжение и водоотведение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развития системы водоснабжения документами территориального планирования Ставропольского края предусмотрены к реализации следующие объекты: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строительство межпоселкового водопровода «Восточный», протяженностью 38 км;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реконструкция системы орошения, площадью 580 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местного значения, направленные на рост обеспеченности населения водой, снижения потерь при транспортировке от водозабора к получателям, генеральным планом предусмотрено более 60 объектов, перечень которых указан в п. 1.4.2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Теплоснабжение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первую очередь генеральным планом предусмотрена реализация 4 проектов, направленных на модернизацию существующих систем с возможностью роста мощностей, среди которых: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тепловых сетей, протяженностью 450 м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№29-19,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Шмидта, 28.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№29-22,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Мартыненко.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№29-26,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Ленина, 20.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схеме территориального планирования Российской Федерации, в области энергетики (с изменениями на 11 июня 2020 года), на территории Новоалександровского городского округа предусмотрены следующие объекты: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ВЭС 610 МВт и завода ВЭУ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Солнечнодольская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ВЭС, мощностью 100 МВт. Местоположение: Новоалександровский и Изобильненский городские округа,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ВЛ 500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Ставропольская ГРЭС – Невинномысск. Местоположение: Новоалександровский городской округ, Изобильненский городской округ, Шпаковский муниципальный район,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Кочубеевский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муниципальный район,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Согласно утвержденной схеме территориального планирования Ставропольского края в Новоалександровском городском округе будут реализованы следующие проекты: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ВЛ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Григорополисская – Темижбекская –Новоалександровская 2, протяженностью 42 км;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Кармалиновская ВЭС. Ветровая электростанция мощностью до 60 МВт;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Электрическая подстанция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 с силовыми трансформаторами мощностью 1 Т - 63 МВА;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ВЛ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Новоалександровская - Красная заря с отпайкой на 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Воздушная линия электропередачи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 сечением провода 120 мм, протяженностью 3 км.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объектов местного значения указан в п. 1.4.2 тома 1 настоящего проекта.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Газоснабжение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Схемой территориального планирования Ставропольского края предусмотрены для реализации следующие проекты: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подводящего газопровода к п. Южному. Общая протяженность – 8402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межпоселкового газопровода высокого давления к г. Новоалександровску. Общая протяженность – 1967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Реконструкция межпоселкового газопровода высокого давления в г. Новоалександровске. Общая протяженность – 7,5 км.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Инженерная подготовка территории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Генпланом предусматриваются следующие мероприятия по инженерной подготовке территории: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регулирование русел с проведением работ по дренированию прилегающих территорий для понижения уровня грунтовых вод;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берегоукрепительные сооружения;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вертикальная планировка территории с организацией отвода поверхностных вод.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Благоустройство территории.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и формирование комфортной среды городов – одна из наиболее острых проблем, которая затрагивает практически все населённые пункты Российской Федерации.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генерального плана предусматривается 23 объекта местного значения. В основном это размещение скверов, создание новых парков. 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B10B46">
        <w:rPr>
          <w:rFonts w:ascii="Times New Roman" w:hAnsi="Times New Roman" w:cs="Times New Roman"/>
          <w:sz w:val="28"/>
          <w:szCs w:val="28"/>
        </w:rPr>
        <w:t>проекту</w:t>
      </w:r>
      <w:bookmarkStart w:id="4" w:name="_GoBack"/>
      <w:bookmarkEnd w:id="4"/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Итоги голосования: «за» - единогласно; «против» - нет; «воздержались» - нет. </w:t>
      </w:r>
    </w:p>
    <w:p w:rsidR="008D38D6" w:rsidRDefault="008D38D6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5F7" w:rsidRPr="00F675F7" w:rsidRDefault="00F675F7" w:rsidP="00F6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 с чем члены комиссии решили:</w:t>
      </w:r>
    </w:p>
    <w:p w:rsidR="00370CCA" w:rsidRPr="00370CCA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>1. Публичные слушания по проекту генерального плана Новоалександровского городского округа Ставропольского края считать состоявшимися.</w:t>
      </w:r>
    </w:p>
    <w:p w:rsidR="00370CCA" w:rsidRDefault="00080396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с проектом 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генерального плана Новоалександровского городского округа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F675F7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7DF" w:rsidRDefault="005057DF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F33C5E" w:rsidTr="00F030CE">
        <w:tc>
          <w:tcPr>
            <w:tcW w:w="4678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F33C5E" w:rsidTr="00F030CE">
        <w:trPr>
          <w:trHeight w:val="80"/>
        </w:trPr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30A3E"/>
    <w:rsid w:val="00080396"/>
    <w:rsid w:val="00081240"/>
    <w:rsid w:val="000C2829"/>
    <w:rsid w:val="000F735A"/>
    <w:rsid w:val="001473E6"/>
    <w:rsid w:val="001541F2"/>
    <w:rsid w:val="001978ED"/>
    <w:rsid w:val="002F211F"/>
    <w:rsid w:val="00370CCA"/>
    <w:rsid w:val="00397F59"/>
    <w:rsid w:val="003A2DFF"/>
    <w:rsid w:val="003D22CB"/>
    <w:rsid w:val="00434D61"/>
    <w:rsid w:val="004C1597"/>
    <w:rsid w:val="005057DF"/>
    <w:rsid w:val="005F37BC"/>
    <w:rsid w:val="006345DD"/>
    <w:rsid w:val="00672D82"/>
    <w:rsid w:val="006C2AB6"/>
    <w:rsid w:val="00726F94"/>
    <w:rsid w:val="007C166F"/>
    <w:rsid w:val="007D66F1"/>
    <w:rsid w:val="00884D03"/>
    <w:rsid w:val="008D38D6"/>
    <w:rsid w:val="00902CE3"/>
    <w:rsid w:val="00953AFE"/>
    <w:rsid w:val="009E1133"/>
    <w:rsid w:val="00A2255C"/>
    <w:rsid w:val="00A326B3"/>
    <w:rsid w:val="00AE7F9C"/>
    <w:rsid w:val="00AF0432"/>
    <w:rsid w:val="00B10B46"/>
    <w:rsid w:val="00B24AD6"/>
    <w:rsid w:val="00B552CD"/>
    <w:rsid w:val="00B6716B"/>
    <w:rsid w:val="00BF1E16"/>
    <w:rsid w:val="00C5465C"/>
    <w:rsid w:val="00D73AAD"/>
    <w:rsid w:val="00DE7D2B"/>
    <w:rsid w:val="00ED10AF"/>
    <w:rsid w:val="00F030CE"/>
    <w:rsid w:val="00F33C5E"/>
    <w:rsid w:val="00F675F7"/>
    <w:rsid w:val="00FB2AFE"/>
    <w:rsid w:val="00FE6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</Pages>
  <Words>2006</Words>
  <Characters>11436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28</cp:revision>
  <cp:lastPrinted>2020-11-27T12:22:00Z</cp:lastPrinted>
  <dcterms:created xsi:type="dcterms:W3CDTF">2019-08-15T05:53:00Z</dcterms:created>
  <dcterms:modified xsi:type="dcterms:W3CDTF">2020-12-25T10:46:00Z</dcterms:modified>
</cp:coreProperties>
</file>