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A6" w:rsidRDefault="00EB74A6" w:rsidP="00EB74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Территориальная избирательная комиссия</w:t>
      </w:r>
    </w:p>
    <w:p w:rsidR="00EB74A6" w:rsidRDefault="00EB74A6" w:rsidP="00EB74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Новоалександровского района</w:t>
      </w:r>
    </w:p>
    <w:p w:rsidR="00EB74A6" w:rsidRDefault="00EB74A6" w:rsidP="00EB74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74A6" w:rsidRDefault="00EB74A6" w:rsidP="00EB74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B74A6" w:rsidRDefault="00EB74A6" w:rsidP="00EB74A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B74A6" w:rsidRDefault="00EB74A6" w:rsidP="00EB74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4A6" w:rsidRDefault="00EB74A6" w:rsidP="00EB74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4A6" w:rsidRDefault="00593852" w:rsidP="00EB74A6">
      <w:pPr>
        <w:rPr>
          <w:rFonts w:ascii="Times New Roman" w:hAnsi="Times New Roman" w:cs="Times New Roman"/>
          <w:sz w:val="28"/>
          <w:szCs w:val="28"/>
        </w:rPr>
      </w:pPr>
      <w:r w:rsidRPr="009667C7">
        <w:rPr>
          <w:rFonts w:ascii="Times New Roman" w:hAnsi="Times New Roman" w:cs="Times New Roman"/>
          <w:sz w:val="28"/>
          <w:szCs w:val="28"/>
        </w:rPr>
        <w:t>04</w:t>
      </w:r>
      <w:r w:rsidR="00EB7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EB74A6">
        <w:rPr>
          <w:rFonts w:ascii="Times New Roman" w:hAnsi="Times New Roman" w:cs="Times New Roman"/>
          <w:sz w:val="28"/>
          <w:szCs w:val="28"/>
        </w:rPr>
        <w:t xml:space="preserve"> 2022 г.                                                                                       № </w:t>
      </w:r>
      <w:r w:rsidRPr="009667C7">
        <w:rPr>
          <w:rFonts w:ascii="Times New Roman" w:hAnsi="Times New Roman" w:cs="Times New Roman"/>
          <w:sz w:val="28"/>
          <w:szCs w:val="28"/>
        </w:rPr>
        <w:t>56</w:t>
      </w:r>
      <w:r w:rsidR="00EB74A6" w:rsidRPr="009667C7">
        <w:rPr>
          <w:rFonts w:ascii="Times New Roman" w:hAnsi="Times New Roman" w:cs="Times New Roman"/>
          <w:sz w:val="28"/>
          <w:szCs w:val="28"/>
        </w:rPr>
        <w:t>/</w:t>
      </w:r>
      <w:r w:rsidRPr="009667C7">
        <w:rPr>
          <w:rFonts w:ascii="Times New Roman" w:hAnsi="Times New Roman" w:cs="Times New Roman"/>
          <w:sz w:val="28"/>
          <w:szCs w:val="28"/>
        </w:rPr>
        <w:t>313</w:t>
      </w:r>
    </w:p>
    <w:p w:rsidR="00EB74A6" w:rsidRPr="00A039CB" w:rsidRDefault="00EB74A6" w:rsidP="00EB74A6">
      <w:pPr>
        <w:jc w:val="center"/>
        <w:rPr>
          <w:rFonts w:ascii="Times New Roman" w:hAnsi="Times New Roman" w:cs="Times New Roman"/>
        </w:rPr>
      </w:pPr>
      <w:r w:rsidRPr="00A039CB">
        <w:rPr>
          <w:rFonts w:ascii="Times New Roman" w:hAnsi="Times New Roman" w:cs="Times New Roman"/>
        </w:rPr>
        <w:t>г.</w:t>
      </w:r>
      <w:r w:rsidR="00A039CB">
        <w:rPr>
          <w:rFonts w:ascii="Times New Roman" w:hAnsi="Times New Roman" w:cs="Times New Roman"/>
        </w:rPr>
        <w:t xml:space="preserve"> </w:t>
      </w:r>
      <w:r w:rsidRPr="00A039CB">
        <w:rPr>
          <w:rFonts w:ascii="Times New Roman" w:hAnsi="Times New Roman" w:cs="Times New Roman"/>
        </w:rPr>
        <w:t>Новоалександровск</w:t>
      </w:r>
    </w:p>
    <w:p w:rsidR="002D49D7" w:rsidRDefault="002D49D7"/>
    <w:p w:rsidR="006564B7" w:rsidRDefault="006564B7" w:rsidP="006564B7">
      <w:pPr>
        <w:jc w:val="both"/>
        <w:rPr>
          <w:rFonts w:ascii="Times New Roman" w:hAnsi="Times New Roman" w:cs="Times New Roman"/>
          <w:sz w:val="28"/>
          <w:szCs w:val="28"/>
        </w:rPr>
      </w:pPr>
      <w:r w:rsidRPr="006564B7">
        <w:rPr>
          <w:rFonts w:ascii="Times New Roman" w:hAnsi="Times New Roman" w:cs="Times New Roman"/>
          <w:sz w:val="28"/>
          <w:szCs w:val="28"/>
        </w:rPr>
        <w:t>О формах нагрудных знаков наблюдателя, присутствующ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564B7">
        <w:rPr>
          <w:rFonts w:ascii="Times New Roman" w:hAnsi="Times New Roman" w:cs="Times New Roman"/>
          <w:sz w:val="28"/>
          <w:szCs w:val="28"/>
        </w:rPr>
        <w:t xml:space="preserve"> при голосовании и подсчете голосов избирателей в участковых избирательных комиссиях при проведении выборов депутатов </w:t>
      </w:r>
      <w:r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</w:t>
      </w:r>
      <w:r w:rsidRPr="006564B7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 w:rsidRPr="006564B7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6564B7" w:rsidRDefault="006564B7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0CF" w:rsidRDefault="00B160CF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0C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564B7">
        <w:rPr>
          <w:rFonts w:ascii="Times New Roman" w:hAnsi="Times New Roman" w:cs="Times New Roman"/>
          <w:sz w:val="28"/>
          <w:szCs w:val="28"/>
        </w:rPr>
        <w:t xml:space="preserve">пунктом 7 части 7 </w:t>
      </w:r>
      <w:r w:rsidR="00BF3643">
        <w:rPr>
          <w:rFonts w:ascii="Times New Roman" w:hAnsi="Times New Roman" w:cs="Times New Roman"/>
          <w:sz w:val="28"/>
          <w:szCs w:val="28"/>
        </w:rPr>
        <w:t>стать</w:t>
      </w:r>
      <w:r w:rsidR="006564B7">
        <w:rPr>
          <w:rFonts w:ascii="Times New Roman" w:hAnsi="Times New Roman" w:cs="Times New Roman"/>
          <w:sz w:val="28"/>
          <w:szCs w:val="28"/>
        </w:rPr>
        <w:t>и</w:t>
      </w:r>
      <w:r w:rsidR="00BF3643">
        <w:rPr>
          <w:rFonts w:ascii="Times New Roman" w:hAnsi="Times New Roman" w:cs="Times New Roman"/>
          <w:sz w:val="28"/>
          <w:szCs w:val="28"/>
        </w:rPr>
        <w:t xml:space="preserve"> 1</w:t>
      </w:r>
      <w:r w:rsidR="006564B7">
        <w:rPr>
          <w:rFonts w:ascii="Times New Roman" w:hAnsi="Times New Roman" w:cs="Times New Roman"/>
          <w:sz w:val="28"/>
          <w:szCs w:val="28"/>
        </w:rPr>
        <w:t>5</w:t>
      </w:r>
      <w:r w:rsidR="00BF3643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«О выборах в органы местного самоуправления муниципальных образований Ставропольского края», территориальная избирательная комиссия Новоалександровского района</w:t>
      </w:r>
    </w:p>
    <w:p w:rsidR="00B160CF" w:rsidRDefault="00B160CF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938" w:rsidRDefault="00965938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6D7" w:rsidRDefault="002E06D7" w:rsidP="00476111">
      <w:pPr>
        <w:jc w:val="both"/>
        <w:rPr>
          <w:rFonts w:ascii="Times New Roman" w:hAnsi="Times New Roman" w:cs="Times New Roman"/>
          <w:sz w:val="28"/>
          <w:szCs w:val="28"/>
        </w:rPr>
      </w:pPr>
      <w:r w:rsidRPr="002E06D7"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651BB0">
        <w:rPr>
          <w:rFonts w:ascii="Times New Roman" w:hAnsi="Times New Roman" w:cs="Times New Roman"/>
          <w:b/>
          <w:sz w:val="28"/>
          <w:szCs w:val="28"/>
        </w:rPr>
        <w:t>ЯЕТ</w:t>
      </w:r>
      <w:r w:rsidRPr="002E06D7">
        <w:rPr>
          <w:rFonts w:ascii="Times New Roman" w:hAnsi="Times New Roman" w:cs="Times New Roman"/>
          <w:b/>
          <w:sz w:val="28"/>
          <w:szCs w:val="28"/>
        </w:rPr>
        <w:t>:</w:t>
      </w:r>
    </w:p>
    <w:p w:rsidR="002E06D7" w:rsidRDefault="002E06D7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6D7" w:rsidRDefault="002E06D7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643" w:rsidRPr="00BF3643" w:rsidRDefault="00BF3643" w:rsidP="00BF36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64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4B7" w:rsidRPr="006564B7">
        <w:rPr>
          <w:rFonts w:ascii="Times New Roman" w:hAnsi="Times New Roman" w:cs="Times New Roman"/>
          <w:sz w:val="28"/>
          <w:szCs w:val="28"/>
        </w:rPr>
        <w:t>Рекомендовать</w:t>
      </w:r>
      <w:r w:rsidR="006564B7">
        <w:rPr>
          <w:rFonts w:ascii="Times New Roman" w:hAnsi="Times New Roman" w:cs="Times New Roman"/>
          <w:sz w:val="28"/>
          <w:szCs w:val="28"/>
        </w:rPr>
        <w:t xml:space="preserve"> </w:t>
      </w:r>
      <w:r w:rsidR="006564B7" w:rsidRPr="006564B7">
        <w:rPr>
          <w:rFonts w:ascii="Times New Roman" w:hAnsi="Times New Roman" w:cs="Times New Roman"/>
          <w:sz w:val="28"/>
          <w:szCs w:val="28"/>
        </w:rPr>
        <w:t xml:space="preserve">наблюдателям, присутствующим при голосовании и подсчете голосов избирателей в участковых избирательных комиссиях при проведении выборов депутатов </w:t>
      </w:r>
      <w:r w:rsidR="006564B7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</w:t>
      </w:r>
      <w:r w:rsidR="006564B7" w:rsidRPr="006564B7">
        <w:rPr>
          <w:rFonts w:ascii="Times New Roman" w:hAnsi="Times New Roman" w:cs="Times New Roman"/>
          <w:sz w:val="28"/>
          <w:szCs w:val="28"/>
        </w:rPr>
        <w:t xml:space="preserve"> </w:t>
      </w:r>
      <w:r w:rsidR="006564B7">
        <w:rPr>
          <w:rFonts w:ascii="Times New Roman" w:hAnsi="Times New Roman" w:cs="Times New Roman"/>
          <w:sz w:val="28"/>
          <w:szCs w:val="28"/>
        </w:rPr>
        <w:t>второго</w:t>
      </w:r>
      <w:r w:rsidR="006564B7" w:rsidRPr="006564B7">
        <w:rPr>
          <w:rFonts w:ascii="Times New Roman" w:hAnsi="Times New Roman" w:cs="Times New Roman"/>
          <w:sz w:val="28"/>
          <w:szCs w:val="28"/>
        </w:rPr>
        <w:t xml:space="preserve"> созыва, использовать формы нагрудных знаков согласно </w:t>
      </w:r>
      <w:proofErr w:type="gramStart"/>
      <w:r w:rsidR="006564B7" w:rsidRPr="006564B7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6564B7" w:rsidRPr="006564B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76111" w:rsidRDefault="006564B7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6111">
        <w:rPr>
          <w:rFonts w:ascii="Times New Roman" w:hAnsi="Times New Roman" w:cs="Times New Roman"/>
          <w:sz w:val="28"/>
          <w:szCs w:val="28"/>
        </w:rPr>
        <w:t xml:space="preserve">. </w:t>
      </w:r>
      <w:r w:rsidR="00A039CB" w:rsidRPr="00A039CB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96593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A039CB" w:rsidRPr="00A039CB">
        <w:rPr>
          <w:rFonts w:ascii="Times New Roman" w:hAnsi="Times New Roman" w:cs="Times New Roman"/>
          <w:sz w:val="28"/>
          <w:szCs w:val="28"/>
        </w:rPr>
        <w:t xml:space="preserve">на официальном портале Новоалександровского городского округа Ставропольского края </w:t>
      </w:r>
      <w:hyperlink r:id="rId5" w:history="1">
        <w:r w:rsidR="00A039CB" w:rsidRPr="00A039CB">
          <w:rPr>
            <w:rFonts w:ascii="Times New Roman" w:hAnsi="Times New Roman" w:cs="Times New Roman"/>
            <w:sz w:val="28"/>
            <w:szCs w:val="28"/>
          </w:rPr>
          <w:t>www.newalexandrovsk.ru</w:t>
        </w:r>
      </w:hyperlink>
      <w:r w:rsidR="00A039CB" w:rsidRPr="00A039CB">
        <w:rPr>
          <w:rFonts w:ascii="Times New Roman" w:hAnsi="Times New Roman" w:cs="Times New Roman"/>
          <w:sz w:val="28"/>
          <w:szCs w:val="28"/>
        </w:rPr>
        <w:t xml:space="preserve"> в разделе: «Главная/Территориальная избирательная комиссия»</w:t>
      </w:r>
      <w:r w:rsidR="00BF3643">
        <w:rPr>
          <w:rFonts w:ascii="Times New Roman" w:hAnsi="Times New Roman" w:cs="Times New Roman"/>
          <w:sz w:val="28"/>
          <w:szCs w:val="28"/>
        </w:rPr>
        <w:t>.</w:t>
      </w:r>
    </w:p>
    <w:p w:rsidR="00476111" w:rsidRDefault="00476111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111" w:rsidRDefault="00476111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111" w:rsidRDefault="00476111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111" w:rsidRPr="00476111" w:rsidRDefault="00476111" w:rsidP="004761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111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      Н.Г. Дубинин</w:t>
      </w:r>
    </w:p>
    <w:p w:rsidR="00476111" w:rsidRPr="00476111" w:rsidRDefault="00476111" w:rsidP="004761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111" w:rsidRPr="00476111" w:rsidRDefault="00476111" w:rsidP="004761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111" w:rsidRDefault="00476111" w:rsidP="002E06D7">
      <w:pPr>
        <w:jc w:val="both"/>
        <w:rPr>
          <w:rFonts w:ascii="Times New Roman" w:hAnsi="Times New Roman" w:cs="Times New Roman"/>
          <w:sz w:val="28"/>
          <w:szCs w:val="28"/>
        </w:rPr>
      </w:pPr>
      <w:r w:rsidRPr="00476111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</w:t>
      </w:r>
      <w:r w:rsidR="00A039CB">
        <w:rPr>
          <w:rFonts w:ascii="Times New Roman" w:hAnsi="Times New Roman" w:cs="Times New Roman"/>
          <w:sz w:val="28"/>
          <w:szCs w:val="28"/>
        </w:rPr>
        <w:t xml:space="preserve"> Н.М.Долбня</w:t>
      </w:r>
    </w:p>
    <w:p w:rsidR="006564B7" w:rsidRDefault="006564B7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4B7" w:rsidRDefault="006564B7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4B7" w:rsidRDefault="006564B7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4B7" w:rsidRDefault="006564B7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4B7" w:rsidRDefault="006564B7" w:rsidP="006564B7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Приложение</w:t>
      </w:r>
    </w:p>
    <w:p w:rsidR="006564B7" w:rsidRDefault="006564B7" w:rsidP="006564B7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 постановлению территориальной</w:t>
      </w:r>
    </w:p>
    <w:p w:rsidR="006564B7" w:rsidRDefault="006564B7" w:rsidP="006564B7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избирательной комиссии</w:t>
      </w:r>
    </w:p>
    <w:p w:rsidR="006564B7" w:rsidRDefault="006564B7" w:rsidP="006564B7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Новоалександровского района</w:t>
      </w:r>
    </w:p>
    <w:p w:rsidR="006564B7" w:rsidRDefault="006564B7" w:rsidP="006564B7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9667C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 4 августа 2022 г. № 56/31</w:t>
      </w:r>
      <w:r w:rsidR="009667C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</w:t>
      </w:r>
    </w:p>
    <w:p w:rsidR="006564B7" w:rsidRDefault="006564B7" w:rsidP="006564B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6564B7" w:rsidRDefault="006564B7" w:rsidP="006564B7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ФОРМЫ НАГРУДНЫХ ЗНАКОВ</w:t>
      </w:r>
      <w:r w:rsidR="001722D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НАБЛЮДАТЕЛЯ, ПРИСУТСТВУЮЩЕГО ПРИ ГОЛОСОВАНИИ И ПОДСЧЕТЕ</w:t>
      </w:r>
      <w:r w:rsidR="001722D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ГОЛОСОВ ИЗБИРАТЕЛЕЙ В УЧАСТКОВЫХ ИЗБИРАТЕЛЬНЫХ КОМИССИЯХ</w:t>
      </w:r>
      <w:r w:rsidR="001722D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ПРИ ПРОВЕДЕНИИ ВЫБОРОВ ДЕПУТАТОВ</w:t>
      </w:r>
      <w:r w:rsidR="001722D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СОВЕТА ДЕПУТАТОВ НОВОАЛЕКСАНДРОВСКОГО ГОРОДСКОГО ОКРУГА СТАВРОПОЛЬСКОГО КРАЯ ВТОРОГО СОЗЫВА</w:t>
      </w:r>
    </w:p>
    <w:p w:rsidR="001722D1" w:rsidRDefault="001722D1" w:rsidP="006564B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4B3ADF" w:rsidRDefault="004B3ADF" w:rsidP="006564B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340"/>
        <w:gridCol w:w="6066"/>
        <w:gridCol w:w="340"/>
        <w:gridCol w:w="1134"/>
      </w:tblGrid>
      <w:tr w:rsidR="004B3ADF" w:rsidTr="004B3ADF">
        <w:trPr>
          <w:trHeight w:val="1473"/>
        </w:trPr>
        <w:tc>
          <w:tcPr>
            <w:tcW w:w="1191" w:type="dxa"/>
            <w:vMerge w:val="restart"/>
            <w:tcBorders>
              <w:right w:val="single" w:sz="4" w:space="0" w:color="auto"/>
            </w:tcBorders>
          </w:tcPr>
          <w:p w:rsidR="004B3ADF" w:rsidRDefault="004B3ADF" w:rsidP="009A533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ADF" w:rsidRDefault="004B3ADF" w:rsidP="009A533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066" w:type="dxa"/>
            <w:tcBorders>
              <w:top w:val="single" w:sz="4" w:space="0" w:color="auto"/>
            </w:tcBorders>
          </w:tcPr>
          <w:p w:rsidR="004B3ADF" w:rsidRPr="004B3ADF" w:rsidRDefault="004B3ADF" w:rsidP="004B3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B3AD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Выборы депутатов Совета депутатов Новоалександровского городского округа Ставропольского края второго созыва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F" w:rsidRDefault="004B3ADF" w:rsidP="009A533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B3ADF" w:rsidRDefault="004B3ADF" w:rsidP="009A533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1722D1" w:rsidTr="009A5335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066" w:type="dxa"/>
            <w:tcBorders>
              <w:top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(фамилия)</w:t>
            </w: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1722D1" w:rsidTr="009A5335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066" w:type="dxa"/>
            <w:tcBorders>
              <w:bottom w:val="single" w:sz="4" w:space="0" w:color="auto"/>
            </w:tcBorders>
            <w:vAlign w:val="bottom"/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1722D1" w:rsidTr="009A5335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066" w:type="dxa"/>
            <w:tcBorders>
              <w:top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(имя, отчество)</w:t>
            </w: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1722D1" w:rsidTr="009A5335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066" w:type="dxa"/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1722D1" w:rsidTr="009A5335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066" w:type="dxa"/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НАБЛЮДАТЕЛЬ</w:t>
            </w: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1722D1" w:rsidTr="009A5335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066" w:type="dxa"/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направлен избирательным объединением</w:t>
            </w: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1722D1" w:rsidTr="009A5335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1722D1" w:rsidTr="009A5335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066" w:type="dxa"/>
            <w:tcBorders>
              <w:top w:val="single" w:sz="4" w:space="0" w:color="auto"/>
            </w:tcBorders>
          </w:tcPr>
          <w:p w:rsidR="001722D1" w:rsidRDefault="001722D1" w:rsidP="001722D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(наименование)</w:t>
            </w: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1722D1" w:rsidTr="009A5335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1722D1" w:rsidTr="009A5335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722D1" w:rsidRDefault="001722D1" w:rsidP="009A533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1722D1" w:rsidRDefault="001722D1" w:rsidP="006564B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4B3ADF" w:rsidRDefault="004B3ADF" w:rsidP="006564B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340"/>
        <w:gridCol w:w="6066"/>
        <w:gridCol w:w="340"/>
        <w:gridCol w:w="1134"/>
      </w:tblGrid>
      <w:tr w:rsidR="004B3ADF" w:rsidTr="004B3ADF">
        <w:trPr>
          <w:trHeight w:val="1711"/>
        </w:trPr>
        <w:tc>
          <w:tcPr>
            <w:tcW w:w="1191" w:type="dxa"/>
            <w:vMerge w:val="restart"/>
            <w:tcBorders>
              <w:right w:val="single" w:sz="4" w:space="0" w:color="auto"/>
            </w:tcBorders>
          </w:tcPr>
          <w:p w:rsidR="004B3ADF" w:rsidRDefault="004B3AD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ADF" w:rsidRDefault="004B3AD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066" w:type="dxa"/>
            <w:tcBorders>
              <w:top w:val="single" w:sz="4" w:space="0" w:color="auto"/>
            </w:tcBorders>
          </w:tcPr>
          <w:p w:rsidR="004B3ADF" w:rsidRDefault="004B3ADF" w:rsidP="004B3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B3AD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Выборы депутатов Совета депутатов Новоалександровского городского округа Ставропольского края второго созыва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F" w:rsidRDefault="004B3AD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B3ADF" w:rsidRDefault="004B3AD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6564B7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066" w:type="dxa"/>
            <w:tcBorders>
              <w:top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(фамилия)</w:t>
            </w: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6564B7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066" w:type="dxa"/>
            <w:tcBorders>
              <w:bottom w:val="single" w:sz="4" w:space="0" w:color="auto"/>
            </w:tcBorders>
            <w:vAlign w:val="bottom"/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6564B7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066" w:type="dxa"/>
            <w:tcBorders>
              <w:top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(имя, отчество)</w:t>
            </w: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6564B7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066" w:type="dxa"/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6564B7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066" w:type="dxa"/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НАБЛЮДАТЕЛЬ</w:t>
            </w: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6564B7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066" w:type="dxa"/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направлен</w:t>
            </w: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6564B7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6564B7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066" w:type="dxa"/>
            <w:tcBorders>
              <w:top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(наименование субъекта общественного контроля)</w:t>
            </w: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6564B7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6564B7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6564B7" w:rsidRDefault="006564B7" w:rsidP="006564B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6564B7" w:rsidRDefault="006564B7" w:rsidP="006564B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6564B7" w:rsidRDefault="006564B7" w:rsidP="006564B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340"/>
        <w:gridCol w:w="6066"/>
        <w:gridCol w:w="340"/>
        <w:gridCol w:w="1134"/>
      </w:tblGrid>
      <w:tr w:rsidR="004B3ADF" w:rsidTr="004B3ADF">
        <w:trPr>
          <w:trHeight w:val="1425"/>
        </w:trPr>
        <w:tc>
          <w:tcPr>
            <w:tcW w:w="1191" w:type="dxa"/>
            <w:vMerge w:val="restart"/>
            <w:tcBorders>
              <w:right w:val="single" w:sz="4" w:space="0" w:color="auto"/>
            </w:tcBorders>
          </w:tcPr>
          <w:p w:rsidR="004B3ADF" w:rsidRDefault="004B3AD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ADF" w:rsidRDefault="004B3AD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066" w:type="dxa"/>
            <w:tcBorders>
              <w:top w:val="single" w:sz="4" w:space="0" w:color="auto"/>
            </w:tcBorders>
          </w:tcPr>
          <w:p w:rsidR="004B3ADF" w:rsidRDefault="004B3ADF" w:rsidP="004B3A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B3AD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Выборы депутатов Совета депутатов Новоалександровского городского округа Ставропольского края второго созыва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DF" w:rsidRDefault="004B3AD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B3ADF" w:rsidRDefault="004B3AD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6564B7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066" w:type="dxa"/>
            <w:tcBorders>
              <w:top w:val="single" w:sz="4" w:space="0" w:color="auto"/>
            </w:tcBorders>
            <w:vAlign w:val="center"/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(фамилия)</w:t>
            </w: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6564B7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6564B7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066" w:type="dxa"/>
            <w:tcBorders>
              <w:top w:val="single" w:sz="4" w:space="0" w:color="auto"/>
            </w:tcBorders>
            <w:vAlign w:val="center"/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(имя, отчество)</w:t>
            </w: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6564B7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066" w:type="dxa"/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6564B7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066" w:type="dxa"/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НАБЛЮДАТЕЛЬ</w:t>
            </w: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6564B7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066" w:type="dxa"/>
          </w:tcPr>
          <w:p w:rsidR="006564B7" w:rsidRDefault="006564B7" w:rsidP="001722D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направлен кандидатом в депутаты </w:t>
            </w:r>
            <w:r w:rsidR="001722D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Совета депутатов Новоалександровского городского округа Ставропольского края второго созыва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по </w:t>
            </w:r>
            <w:r w:rsidR="001722D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мног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омандатному избирательному округу N ___</w:t>
            </w: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6564B7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6564B7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066" w:type="dxa"/>
            <w:tcBorders>
              <w:top w:val="single" w:sz="4" w:space="0" w:color="auto"/>
            </w:tcBorders>
            <w:vAlign w:val="center"/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(фамилия)</w:t>
            </w: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6564B7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6564B7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066" w:type="dxa"/>
            <w:tcBorders>
              <w:top w:val="single" w:sz="4" w:space="0" w:color="auto"/>
            </w:tcBorders>
            <w:vAlign w:val="center"/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(имя, отчество кандидата)</w:t>
            </w: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6564B7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64B7" w:rsidRDefault="006564B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6564B7" w:rsidRDefault="006564B7" w:rsidP="006564B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6564B7" w:rsidRDefault="006564B7" w:rsidP="006564B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Примечание. Нагрудный знак наблюдателя представляет собой прямоугольную карточку размером не более 100 x 65 мм, изготовленную, как правило, из плотной бумаги белого цвета, с указанием наименования избирательной кампании, фамилии, имени и отчества наблюдателя, </w:t>
      </w:r>
      <w:r w:rsidR="001722D1" w:rsidRPr="001722D1">
        <w:rPr>
          <w:rFonts w:ascii="Times New Roman" w:eastAsia="Times New Roman" w:hAnsi="Times New Roman" w:cs="Times New Roman"/>
          <w:sz w:val="28"/>
          <w:szCs w:val="28"/>
          <w:lang w:bidi="ar-SA"/>
        </w:rPr>
        <w:t>полного или соответствующего сокращенного наименования избирательного объединения,</w:t>
      </w:r>
      <w:r w:rsidR="001722D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наименования субъекта общественного контроля, указанного в </w:t>
      </w:r>
      <w:hyperlink r:id="rId6" w:history="1">
        <w:r w:rsidRPr="001722D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пунктах 1</w:t>
        </w:r>
      </w:hyperlink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 </w:t>
      </w:r>
      <w:hyperlink r:id="rId7" w:history="1">
        <w:r w:rsidRPr="001722D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2 части 1 статьи 9</w:t>
        </w:r>
      </w:hyperlink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Федерального закона </w:t>
      </w:r>
      <w:r w:rsidR="001722D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 основах общественного контроля в Российской Федерации</w:t>
      </w:r>
      <w:r w:rsidR="001722D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(Общественная палата Российской Федерации, общественная палата субъекта Российской Федерации), фамилии, имени и отчества зарегистрированного кандидата, направивших наблюдателя в избирательную комиссию.</w:t>
      </w:r>
    </w:p>
    <w:p w:rsidR="006564B7" w:rsidRDefault="006564B7" w:rsidP="006564B7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Нагрудный знак наблюдателя не должен содержать признаков предвыборной агитации.</w:t>
      </w:r>
    </w:p>
    <w:p w:rsidR="006564B7" w:rsidRDefault="006564B7" w:rsidP="006564B7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Текст может наноситься на карточку машинописным, рукописным либо комбинированным способом. При заполнении карточки машинописным способом слово </w:t>
      </w:r>
      <w:r w:rsidR="001722D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Наблюдатель</w:t>
      </w:r>
      <w:r w:rsidR="001722D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его фамилию, </w:t>
      </w:r>
      <w:r w:rsidR="004B3AD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полное или сокращенное наименование избирательного объединения,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наименование субъекта общественного контроля, фамилию, имя, отчество зарегистрированного кандидата, назначивших (направивших) обладателя нагрудного знака в избирательную комиссию, рекомендуется набирать жирным шрифтом черного цвета размером не более 18 пунктов, остальной текст - шрифтом черного цвета размером не более 14 пунктов.</w:t>
      </w:r>
    </w:p>
    <w:p w:rsidR="006564B7" w:rsidRDefault="006564B7" w:rsidP="006564B7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При заполнении карточки рукописным способом рекомендуется писать текст разборчиво синими или черными чернилами.</w:t>
      </w:r>
    </w:p>
    <w:p w:rsidR="004B3ADF" w:rsidRPr="002E06D7" w:rsidRDefault="006564B7" w:rsidP="00303C4D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Нагрудные знаки рекомендуется прикреплять к одежде.</w:t>
      </w:r>
      <w:bookmarkStart w:id="0" w:name="_GoBack"/>
      <w:bookmarkEnd w:id="0"/>
    </w:p>
    <w:sectPr w:rsidR="004B3ADF" w:rsidRPr="002E06D7" w:rsidSect="00476111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A7AF8"/>
    <w:multiLevelType w:val="hybridMultilevel"/>
    <w:tmpl w:val="F34A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8E"/>
    <w:rsid w:val="00017A23"/>
    <w:rsid w:val="000F285B"/>
    <w:rsid w:val="000F2F00"/>
    <w:rsid w:val="001722D1"/>
    <w:rsid w:val="00214BB6"/>
    <w:rsid w:val="00275D62"/>
    <w:rsid w:val="002D49D7"/>
    <w:rsid w:val="002E06D7"/>
    <w:rsid w:val="00303C4D"/>
    <w:rsid w:val="003B57B2"/>
    <w:rsid w:val="00476111"/>
    <w:rsid w:val="004B3ADF"/>
    <w:rsid w:val="0059139D"/>
    <w:rsid w:val="00593852"/>
    <w:rsid w:val="00651BB0"/>
    <w:rsid w:val="006564B7"/>
    <w:rsid w:val="00697340"/>
    <w:rsid w:val="006D2D8E"/>
    <w:rsid w:val="00965938"/>
    <w:rsid w:val="009667C7"/>
    <w:rsid w:val="00970850"/>
    <w:rsid w:val="00A039CB"/>
    <w:rsid w:val="00B160CF"/>
    <w:rsid w:val="00BF3643"/>
    <w:rsid w:val="00C517E7"/>
    <w:rsid w:val="00DB15BA"/>
    <w:rsid w:val="00EB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757FD-CE28-449C-A811-A5607024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6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B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BB0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93A5BC91F727BB546DE0D890598662673C56BB5EDAB400A9FFE10D8FDBF8F48C41CE5F56B96CEBFCF4372E62E97423D8E9A3ECB6ABECB3V0r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93A5BC91F727BB546DE0D890598662673C56BB5EDAB400A9FFE10D8FDBF8F48C41CE5F56B96CEBFFF4372E62E97423D8E9A3ECB6ABECB3V0rEF" TargetMode="External"/><Relationship Id="rId5" Type="http://schemas.openxmlformats.org/officeDocument/2006/relationships/hyperlink" Target="http://www.newalexandrov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Долбня</cp:lastModifiedBy>
  <cp:revision>9</cp:revision>
  <cp:lastPrinted>2022-08-04T09:03:00Z</cp:lastPrinted>
  <dcterms:created xsi:type="dcterms:W3CDTF">2022-08-04T05:38:00Z</dcterms:created>
  <dcterms:modified xsi:type="dcterms:W3CDTF">2022-08-04T09:03:00Z</dcterms:modified>
</cp:coreProperties>
</file>