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DD0DE0" w:rsidRPr="00943D1B" w:rsidRDefault="00943D1B" w:rsidP="00602DAA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proofErr w:type="spellStart"/>
      <w:r w:rsidRPr="00943D1B">
        <w:rPr>
          <w:rFonts w:ascii="Times New Roman" w:hAnsi="Times New Roman" w:cs="Times New Roman"/>
          <w:b w:val="0"/>
          <w:u w:val="single"/>
        </w:rPr>
        <w:t>_</w:t>
      </w:r>
      <w:hyperlink r:id="rId5" w:tooltip="МКУ &quot;ЦХО УК НГО СК&quot;" w:history="1">
        <w:r w:rsidRPr="00943D1B">
          <w:rPr>
            <w:rStyle w:val="ad"/>
            <w:rFonts w:asciiTheme="minorHAnsi" w:hAnsiTheme="minorHAnsi"/>
            <w:color w:val="auto"/>
            <w:szCs w:val="28"/>
            <w:shd w:val="clear" w:color="auto" w:fill="FFFFFF"/>
          </w:rPr>
          <w:t>М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униципальное</w:t>
        </w:r>
        <w:proofErr w:type="spellEnd"/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казенное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учреждение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"</w:t>
        </w:r>
        <w:r>
          <w:rPr>
            <w:rStyle w:val="ad"/>
            <w:rFonts w:asciiTheme="minorHAnsi" w:hAnsiTheme="minorHAnsi"/>
            <w:color w:val="auto"/>
            <w:szCs w:val="28"/>
            <w:shd w:val="clear" w:color="auto" w:fill="FFFFFF"/>
          </w:rPr>
          <w:t>Ц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ентр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по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хозяйственному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обслуживанию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учреждений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культуры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d"/>
            <w:rFonts w:asciiTheme="minorHAnsi" w:hAnsiTheme="minorHAnsi"/>
            <w:color w:val="auto"/>
            <w:szCs w:val="28"/>
            <w:shd w:val="clear" w:color="auto" w:fill="FFFFFF"/>
          </w:rPr>
          <w:t>Н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овоалександровского</w:t>
        </w:r>
        <w:proofErr w:type="spellEnd"/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городского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округа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>
          <w:rPr>
            <w:rStyle w:val="ad"/>
            <w:rFonts w:asciiTheme="minorHAnsi" w:hAnsiTheme="minorHAnsi"/>
            <w:color w:val="auto"/>
            <w:szCs w:val="28"/>
            <w:shd w:val="clear" w:color="auto" w:fill="FFFFFF"/>
          </w:rPr>
          <w:t>С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тавропольского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 xml:space="preserve"> </w:t>
        </w:r>
        <w:r w:rsidRPr="00943D1B">
          <w:rPr>
            <w:rStyle w:val="ad"/>
            <w:rFonts w:ascii="PdfIntextCondPro-Bold" w:hAnsi="PdfIntextCondPro-Bold" w:hint="eastAsia"/>
            <w:color w:val="auto"/>
            <w:szCs w:val="28"/>
            <w:shd w:val="clear" w:color="auto" w:fill="FFFFFF"/>
          </w:rPr>
          <w:t>края</w:t>
        </w:r>
        <w:r w:rsidRPr="00943D1B">
          <w:rPr>
            <w:rStyle w:val="ad"/>
            <w:rFonts w:ascii="PdfIntextCondPro-Bold" w:hAnsi="PdfIntextCondPro-Bold"/>
            <w:color w:val="auto"/>
            <w:szCs w:val="28"/>
            <w:shd w:val="clear" w:color="auto" w:fill="FFFFFF"/>
          </w:rPr>
          <w:t>"</w:t>
        </w:r>
      </w:hyperlink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943D1B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943D1B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943D1B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43D1B">
              <w:rPr>
                <w:rFonts w:ascii="Calibri" w:hAnsi="Calibri" w:cs="Calibri"/>
                <w:sz w:val="20"/>
                <w:szCs w:val="20"/>
              </w:rPr>
              <w:t>073</w:t>
            </w:r>
            <w:r w:rsidRPr="00943D1B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43D1B">
              <w:rPr>
                <w:rFonts w:ascii="Calibri" w:hAnsi="Calibri" w:cs="Calibri"/>
                <w:sz w:val="20"/>
                <w:szCs w:val="20"/>
              </w:rPr>
              <w:t>02610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943D1B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943D1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2615016746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«ЦХО УК НГО СК»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43D1B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943D1B" w:rsidRPr="000019F6" w:rsidTr="00C1274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D1B" w:rsidRPr="000019F6" w:rsidRDefault="00943D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B" w:rsidRPr="000019F6" w:rsidRDefault="00943D1B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Недостача, </w:t>
            </w:r>
            <w:r w:rsidRPr="000019F6">
              <w:rPr>
                <w:sz w:val="20"/>
                <w:szCs w:val="20"/>
              </w:rPr>
              <w:lastRenderedPageBreak/>
              <w:t>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570"/>
        <w:gridCol w:w="1054"/>
        <w:gridCol w:w="826"/>
        <w:gridCol w:w="956"/>
        <w:gridCol w:w="489"/>
        <w:gridCol w:w="489"/>
        <w:gridCol w:w="1054"/>
        <w:gridCol w:w="1334"/>
        <w:gridCol w:w="1334"/>
        <w:gridCol w:w="963"/>
        <w:gridCol w:w="1102"/>
        <w:gridCol w:w="570"/>
        <w:gridCol w:w="1054"/>
        <w:gridCol w:w="826"/>
        <w:gridCol w:w="956"/>
      </w:tblGrid>
      <w:tr w:rsidR="00DD0DE0" w:rsidRPr="00A9261F" w:rsidTr="009671BA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9671B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9671B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9671BA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9671BA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9671BA" w:rsidRPr="00A9261F" w:rsidTr="009671BA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9671BA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158,25</w:t>
            </w:r>
          </w:p>
        </w:tc>
        <w:tc>
          <w:tcPr>
            <w:tcW w:w="0" w:type="auto"/>
          </w:tcPr>
          <w:p w:rsidR="009671BA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158,25</w:t>
            </w:r>
          </w:p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151,5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122,8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122,8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10,2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18,5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158,25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158,25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9671BA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9671BA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165,5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132,8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132,8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14,2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18,5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172,25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4"/>
        <w:gridCol w:w="579"/>
        <w:gridCol w:w="767"/>
        <w:gridCol w:w="767"/>
        <w:gridCol w:w="767"/>
        <w:gridCol w:w="842"/>
        <w:gridCol w:w="1322"/>
        <w:gridCol w:w="1322"/>
        <w:gridCol w:w="1006"/>
        <w:gridCol w:w="1093"/>
        <w:gridCol w:w="1266"/>
        <w:gridCol w:w="760"/>
        <w:gridCol w:w="1091"/>
        <w:gridCol w:w="905"/>
        <w:gridCol w:w="1045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9671BA" w:rsidRPr="00A9261F" w:rsidTr="001B7325">
        <w:tc>
          <w:tcPr>
            <w:tcW w:w="0" w:type="auto"/>
            <w:vAlign w:val="center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2143600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1773300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1773300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227500</w:t>
            </w:r>
          </w:p>
        </w:tc>
        <w:tc>
          <w:tcPr>
            <w:tcW w:w="0" w:type="auto"/>
          </w:tcPr>
          <w:p w:rsidR="009671BA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142800</w:t>
            </w:r>
          </w:p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1773300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31094800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26026100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26026100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1766900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3301800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26026100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1089800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1089800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1089800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1089800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34328200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28889200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28889200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1994400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3444600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28889200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227500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142800</w:t>
            </w:r>
          </w:p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1766900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3301800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9671BA" w:rsidRPr="00A9261F" w:rsidTr="001B7325">
        <w:tc>
          <w:tcPr>
            <w:tcW w:w="0" w:type="auto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671BA" w:rsidRPr="00A9261F" w:rsidRDefault="009671B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1994400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3444600</w:t>
            </w: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671BA" w:rsidRPr="00A9261F" w:rsidRDefault="009671BA" w:rsidP="005711D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56"/>
        <w:gridCol w:w="846"/>
        <w:gridCol w:w="1971"/>
        <w:gridCol w:w="1504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6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943D1B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9"/>
        <w:gridCol w:w="585"/>
        <w:gridCol w:w="1125"/>
        <w:gridCol w:w="697"/>
        <w:gridCol w:w="920"/>
        <w:gridCol w:w="1252"/>
        <w:gridCol w:w="558"/>
        <w:gridCol w:w="637"/>
        <w:gridCol w:w="531"/>
        <w:gridCol w:w="1410"/>
        <w:gridCol w:w="1410"/>
        <w:gridCol w:w="586"/>
        <w:gridCol w:w="531"/>
        <w:gridCol w:w="943"/>
        <w:gridCol w:w="1368"/>
        <w:gridCol w:w="1104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4"/>
        <w:gridCol w:w="581"/>
        <w:gridCol w:w="485"/>
        <w:gridCol w:w="568"/>
        <w:gridCol w:w="568"/>
        <w:gridCol w:w="788"/>
        <w:gridCol w:w="750"/>
        <w:gridCol w:w="736"/>
        <w:gridCol w:w="315"/>
        <w:gridCol w:w="243"/>
        <w:gridCol w:w="621"/>
        <w:gridCol w:w="621"/>
        <w:gridCol w:w="1352"/>
        <w:gridCol w:w="243"/>
        <w:gridCol w:w="242"/>
        <w:gridCol w:w="1240"/>
        <w:gridCol w:w="1352"/>
        <w:gridCol w:w="485"/>
        <w:gridCol w:w="1240"/>
        <w:gridCol w:w="1352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602DAA">
        <w:trPr>
          <w:trHeight w:val="781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 w:rsidR="00602DAA">
              <w:rPr>
                <w:sz w:val="20"/>
                <w:szCs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8"/>
        <w:gridCol w:w="434"/>
        <w:gridCol w:w="531"/>
        <w:gridCol w:w="817"/>
        <w:gridCol w:w="883"/>
        <w:gridCol w:w="436"/>
        <w:gridCol w:w="481"/>
        <w:gridCol w:w="405"/>
        <w:gridCol w:w="397"/>
        <w:gridCol w:w="1040"/>
        <w:gridCol w:w="1056"/>
        <w:gridCol w:w="463"/>
        <w:gridCol w:w="992"/>
        <w:gridCol w:w="397"/>
        <w:gridCol w:w="738"/>
        <w:gridCol w:w="1071"/>
        <w:gridCol w:w="850"/>
        <w:gridCol w:w="665"/>
        <w:gridCol w:w="397"/>
        <w:gridCol w:w="397"/>
        <w:gridCol w:w="1058"/>
        <w:gridCol w:w="4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Нежилые помещения, здания и </w:t>
            </w:r>
            <w:r w:rsidRPr="009551E9">
              <w:rPr>
                <w:sz w:val="20"/>
                <w:szCs w:val="20"/>
              </w:rPr>
              <w:lastRenderedPageBreak/>
              <w:t>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9551E9">
              <w:rPr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E222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3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расходы на горюче-смазочные </w:t>
            </w:r>
            <w:r w:rsidRPr="00357A02">
              <w:rPr>
                <w:sz w:val="16"/>
                <w:szCs w:val="20"/>
              </w:rPr>
              <w:lastRenderedPageBreak/>
              <w:t>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колес, шин, </w:t>
            </w:r>
            <w:r w:rsidRPr="00357A02">
              <w:rPr>
                <w:sz w:val="16"/>
                <w:szCs w:val="20"/>
              </w:rPr>
              <w:lastRenderedPageBreak/>
              <w:t>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расходы на 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ремонт, включая приобретение </w:t>
            </w:r>
            <w:r w:rsidRPr="00357A02">
              <w:rPr>
                <w:sz w:val="16"/>
                <w:szCs w:val="20"/>
              </w:rPr>
              <w:lastRenderedPageBreak/>
              <w:t>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аренда гаражей, парковочных </w:t>
            </w:r>
            <w:r w:rsidRPr="00357A02">
              <w:rPr>
                <w:sz w:val="16"/>
                <w:szCs w:val="20"/>
              </w:rPr>
              <w:lastRenderedPageBreak/>
              <w:t>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602252,34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40876,76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004C5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428546,35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16590,00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354873,34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004C5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21047,76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299973,35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7815,00</w:t>
            </w:r>
          </w:p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247379,00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004C5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19829,00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047F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128573,00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8775,00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 xml:space="preserve">с администрацией </w:t>
      </w:r>
      <w:proofErr w:type="spellStart"/>
      <w:r>
        <w:rPr>
          <w:sz w:val="20"/>
          <w:szCs w:val="20"/>
        </w:rPr>
        <w:t>Новоалександровского</w:t>
      </w:r>
      <w:proofErr w:type="spellEnd"/>
      <w:r>
        <w:rPr>
          <w:sz w:val="20"/>
          <w:szCs w:val="20"/>
        </w:rPr>
        <w:t xml:space="preserve">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proofErr w:type="spellStart"/>
      <w:r w:rsidRPr="00BA299A">
        <w:rPr>
          <w:rFonts w:eastAsia="Calibri"/>
          <w:sz w:val="28"/>
          <w:szCs w:val="28"/>
        </w:rPr>
        <w:t>Новоалександровского</w:t>
      </w:r>
      <w:proofErr w:type="spellEnd"/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1B7325"/>
    <w:rsid w:val="002E2075"/>
    <w:rsid w:val="00602DAA"/>
    <w:rsid w:val="00710255"/>
    <w:rsid w:val="00760C8D"/>
    <w:rsid w:val="008C5904"/>
    <w:rsid w:val="00943D1B"/>
    <w:rsid w:val="009671BA"/>
    <w:rsid w:val="009748D4"/>
    <w:rsid w:val="00D93C75"/>
    <w:rsid w:val="00DD0DE0"/>
    <w:rsid w:val="00DF7B23"/>
    <w:rsid w:val="00E2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46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10</cp:revision>
  <dcterms:created xsi:type="dcterms:W3CDTF">2023-04-27T08:37:00Z</dcterms:created>
  <dcterms:modified xsi:type="dcterms:W3CDTF">2023-05-03T13:41:00Z</dcterms:modified>
</cp:coreProperties>
</file>