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FE3AB0" w:rsidRPr="00425E2B" w:rsidTr="00FE3AB0">
        <w:tc>
          <w:tcPr>
            <w:tcW w:w="9468" w:type="dxa"/>
            <w:gridSpan w:val="3"/>
            <w:hideMark/>
          </w:tcPr>
          <w:p w:rsidR="00FE3AB0" w:rsidRPr="00425E2B" w:rsidRDefault="00FE3AB0" w:rsidP="00AA15BB">
            <w:pPr>
              <w:snapToGrid w:val="0"/>
              <w:ind w:right="-2"/>
              <w:jc w:val="center"/>
              <w:rPr>
                <w:b/>
                <w:bCs/>
                <w:noProof/>
                <w:szCs w:val="28"/>
                <w:lang w:val="en-US"/>
              </w:rPr>
            </w:pPr>
            <w:r w:rsidRPr="00B62807">
              <w:rPr>
                <w:b/>
                <w:noProof/>
                <w:szCs w:val="28"/>
                <w:lang w:eastAsia="ru-RU"/>
              </w:rPr>
              <w:drawing>
                <wp:inline distT="0" distB="0" distL="0" distR="0">
                  <wp:extent cx="6381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FE3AB0" w:rsidRPr="00425E2B" w:rsidTr="00FE3AB0">
        <w:tc>
          <w:tcPr>
            <w:tcW w:w="9468" w:type="dxa"/>
            <w:gridSpan w:val="3"/>
          </w:tcPr>
          <w:p w:rsidR="00FE3AB0" w:rsidRPr="00425E2B" w:rsidRDefault="00FE3AB0" w:rsidP="00AA15BB">
            <w:pPr>
              <w:snapToGrid w:val="0"/>
              <w:ind w:right="-2"/>
              <w:jc w:val="center"/>
              <w:rPr>
                <w:b/>
                <w:bCs/>
                <w:noProof/>
                <w:szCs w:val="28"/>
                <w:lang w:val="en-US"/>
              </w:rPr>
            </w:pPr>
          </w:p>
          <w:p w:rsidR="00FE3AB0" w:rsidRPr="00425E2B" w:rsidRDefault="00FE3AB0" w:rsidP="00AA15BB">
            <w:pPr>
              <w:snapToGrid w:val="0"/>
              <w:ind w:right="-2"/>
              <w:jc w:val="center"/>
              <w:rPr>
                <w:b/>
                <w:bCs/>
                <w:noProof/>
                <w:szCs w:val="28"/>
              </w:rPr>
            </w:pPr>
            <w:r w:rsidRPr="00425E2B">
              <w:rPr>
                <w:b/>
                <w:bCs/>
                <w:noProof/>
                <w:szCs w:val="28"/>
              </w:rPr>
              <w:t xml:space="preserve">СОВЕТ ДЕПУТАТОВ НОВОАЛЕКСАНДРОВСКОГО МУНИЦИПАЛЬНОГО ОКРУГА СТАВРОПОЛЬСКОГО КРАЯ </w:t>
            </w:r>
          </w:p>
          <w:p w:rsidR="00FE3AB0" w:rsidRDefault="00FE3AB0" w:rsidP="00AA15BB">
            <w:pPr>
              <w:snapToGrid w:val="0"/>
              <w:ind w:right="-2"/>
              <w:jc w:val="center"/>
              <w:rPr>
                <w:b/>
                <w:bCs/>
                <w:noProof/>
                <w:szCs w:val="28"/>
              </w:rPr>
            </w:pPr>
            <w:r w:rsidRPr="00425E2B">
              <w:rPr>
                <w:b/>
                <w:bCs/>
                <w:noProof/>
                <w:szCs w:val="28"/>
              </w:rPr>
              <w:t xml:space="preserve">ВТОРОГО СОЗЫВА </w:t>
            </w:r>
          </w:p>
          <w:p w:rsidR="00FE3AB0" w:rsidRPr="00425E2B" w:rsidRDefault="00FE3AB0" w:rsidP="00AA15BB">
            <w:pPr>
              <w:snapToGrid w:val="0"/>
              <w:ind w:right="-2"/>
              <w:jc w:val="center"/>
              <w:rPr>
                <w:noProof/>
                <w:szCs w:val="28"/>
              </w:rPr>
            </w:pPr>
          </w:p>
        </w:tc>
      </w:tr>
      <w:tr w:rsidR="00FE3AB0" w:rsidRPr="00425E2B" w:rsidTr="00FE3AB0">
        <w:tc>
          <w:tcPr>
            <w:tcW w:w="2552" w:type="dxa"/>
          </w:tcPr>
          <w:p w:rsidR="00FE3AB0" w:rsidRPr="00425E2B" w:rsidRDefault="00FE3AB0" w:rsidP="00AA15BB">
            <w:pPr>
              <w:snapToGrid w:val="0"/>
              <w:ind w:right="-2"/>
              <w:jc w:val="center"/>
              <w:rPr>
                <w:b/>
                <w:bCs/>
                <w:noProof/>
                <w:szCs w:val="28"/>
              </w:rPr>
            </w:pPr>
          </w:p>
        </w:tc>
        <w:tc>
          <w:tcPr>
            <w:tcW w:w="4396" w:type="dxa"/>
          </w:tcPr>
          <w:p w:rsidR="00FE3AB0" w:rsidRPr="00425E2B" w:rsidRDefault="00FE3AB0" w:rsidP="00AA15BB">
            <w:pPr>
              <w:snapToGrid w:val="0"/>
              <w:ind w:right="-2"/>
              <w:jc w:val="center"/>
              <w:rPr>
                <w:b/>
                <w:noProof/>
                <w:szCs w:val="28"/>
              </w:rPr>
            </w:pPr>
            <w:r w:rsidRPr="00425E2B">
              <w:rPr>
                <w:b/>
                <w:noProof/>
                <w:szCs w:val="28"/>
              </w:rPr>
              <w:t>РЕШЕНИЕ</w:t>
            </w:r>
          </w:p>
          <w:p w:rsidR="00FE3AB0" w:rsidRPr="00425E2B" w:rsidRDefault="00FE3AB0" w:rsidP="00AA15BB">
            <w:pPr>
              <w:snapToGrid w:val="0"/>
              <w:ind w:right="-2"/>
              <w:jc w:val="center"/>
              <w:rPr>
                <w:b/>
                <w:noProof/>
                <w:szCs w:val="28"/>
              </w:rPr>
            </w:pPr>
          </w:p>
        </w:tc>
        <w:tc>
          <w:tcPr>
            <w:tcW w:w="2520" w:type="dxa"/>
          </w:tcPr>
          <w:p w:rsidR="00FE3AB0" w:rsidRPr="00425E2B" w:rsidRDefault="00FE3AB0" w:rsidP="00AA15BB">
            <w:pPr>
              <w:snapToGrid w:val="0"/>
              <w:ind w:right="-2"/>
              <w:jc w:val="center"/>
              <w:rPr>
                <w:noProof/>
                <w:szCs w:val="28"/>
              </w:rPr>
            </w:pPr>
          </w:p>
        </w:tc>
      </w:tr>
      <w:tr w:rsidR="00FE3AB0" w:rsidRPr="00425E2B" w:rsidTr="00FE3AB0">
        <w:tc>
          <w:tcPr>
            <w:tcW w:w="2552" w:type="dxa"/>
          </w:tcPr>
          <w:p w:rsidR="00FE3AB0" w:rsidRPr="00425E2B" w:rsidRDefault="00FE3AB0" w:rsidP="00AA15BB">
            <w:pPr>
              <w:snapToGrid w:val="0"/>
              <w:ind w:right="-2"/>
              <w:rPr>
                <w:bCs/>
                <w:noProof/>
                <w:szCs w:val="28"/>
              </w:rPr>
            </w:pPr>
            <w:r>
              <w:rPr>
                <w:bCs/>
                <w:noProof/>
                <w:szCs w:val="28"/>
              </w:rPr>
              <w:t xml:space="preserve">25 апреля </w:t>
            </w:r>
            <w:r w:rsidRPr="00425E2B">
              <w:rPr>
                <w:bCs/>
                <w:noProof/>
                <w:szCs w:val="28"/>
              </w:rPr>
              <w:t>2024 г.</w:t>
            </w:r>
          </w:p>
        </w:tc>
        <w:tc>
          <w:tcPr>
            <w:tcW w:w="4396" w:type="dxa"/>
            <w:hideMark/>
          </w:tcPr>
          <w:p w:rsidR="00FE3AB0" w:rsidRPr="00425E2B" w:rsidRDefault="00FE3AB0" w:rsidP="00AA15BB">
            <w:pPr>
              <w:snapToGrid w:val="0"/>
              <w:ind w:right="-2"/>
              <w:jc w:val="center"/>
              <w:rPr>
                <w:noProof/>
                <w:szCs w:val="28"/>
              </w:rPr>
            </w:pPr>
            <w:r w:rsidRPr="00425E2B">
              <w:rPr>
                <w:noProof/>
                <w:szCs w:val="28"/>
              </w:rPr>
              <w:t>г. Новоалександровск</w:t>
            </w:r>
          </w:p>
        </w:tc>
        <w:tc>
          <w:tcPr>
            <w:tcW w:w="2520" w:type="dxa"/>
          </w:tcPr>
          <w:p w:rsidR="00FE3AB0" w:rsidRPr="00425E2B" w:rsidRDefault="00FE3AB0" w:rsidP="00AA15BB">
            <w:pPr>
              <w:snapToGrid w:val="0"/>
              <w:ind w:right="-2"/>
              <w:jc w:val="right"/>
              <w:rPr>
                <w:noProof/>
                <w:szCs w:val="28"/>
              </w:rPr>
            </w:pPr>
            <w:r w:rsidRPr="00425E2B">
              <w:rPr>
                <w:noProof/>
                <w:szCs w:val="28"/>
              </w:rPr>
              <w:t xml:space="preserve">№ </w:t>
            </w:r>
            <w:r>
              <w:rPr>
                <w:noProof/>
                <w:szCs w:val="28"/>
              </w:rPr>
              <w:t>23/778</w:t>
            </w:r>
          </w:p>
        </w:tc>
      </w:tr>
    </w:tbl>
    <w:p w:rsidR="00F41094" w:rsidRDefault="00F41094" w:rsidP="00AA15BB">
      <w:pPr>
        <w:widowControl w:val="0"/>
        <w:autoSpaceDE w:val="0"/>
        <w:autoSpaceDN w:val="0"/>
        <w:adjustRightInd w:val="0"/>
        <w:jc w:val="center"/>
        <w:rPr>
          <w:b/>
          <w:bCs/>
          <w:szCs w:val="28"/>
          <w:lang w:eastAsia="ru-RU"/>
        </w:rPr>
      </w:pPr>
    </w:p>
    <w:p w:rsidR="007E0669" w:rsidRDefault="008A57F9" w:rsidP="00AA15BB">
      <w:pPr>
        <w:jc w:val="both"/>
        <w:rPr>
          <w:szCs w:val="28"/>
        </w:rPr>
      </w:pPr>
      <w:r>
        <w:rPr>
          <w:szCs w:val="28"/>
        </w:rPr>
        <w:t>Об о</w:t>
      </w:r>
      <w:r w:rsidR="007E0669" w:rsidRPr="00EF054B">
        <w:rPr>
          <w:szCs w:val="28"/>
        </w:rPr>
        <w:t>тчет</w:t>
      </w:r>
      <w:r>
        <w:rPr>
          <w:szCs w:val="28"/>
        </w:rPr>
        <w:t>е</w:t>
      </w:r>
      <w:r w:rsidR="007E0669" w:rsidRPr="00EF054B">
        <w:rPr>
          <w:szCs w:val="28"/>
        </w:rPr>
        <w:t xml:space="preserve"> о реализации </w:t>
      </w:r>
      <w:r w:rsidR="007E0669" w:rsidRPr="00FD28B1">
        <w:rPr>
          <w:szCs w:val="28"/>
        </w:rPr>
        <w:t>Стратегии социально</w:t>
      </w:r>
      <w:r w:rsidR="00C97A3B">
        <w:rPr>
          <w:szCs w:val="28"/>
        </w:rPr>
        <w:t xml:space="preserve"> </w:t>
      </w:r>
      <w:r w:rsidR="007E0669" w:rsidRPr="00FD28B1">
        <w:rPr>
          <w:szCs w:val="28"/>
        </w:rPr>
        <w:t>-</w:t>
      </w:r>
      <w:r w:rsidR="00C97A3B">
        <w:rPr>
          <w:szCs w:val="28"/>
        </w:rPr>
        <w:t xml:space="preserve"> </w:t>
      </w:r>
      <w:r w:rsidR="007E0669" w:rsidRPr="00FD28B1">
        <w:rPr>
          <w:szCs w:val="28"/>
        </w:rPr>
        <w:t xml:space="preserve">экономического развития Новоалександровского </w:t>
      </w:r>
      <w:r w:rsidR="005A2D01">
        <w:rPr>
          <w:szCs w:val="28"/>
        </w:rPr>
        <w:t>городского</w:t>
      </w:r>
      <w:r w:rsidR="006A22F8">
        <w:rPr>
          <w:szCs w:val="28"/>
        </w:rPr>
        <w:t xml:space="preserve"> округа</w:t>
      </w:r>
      <w:r w:rsidR="007E0669" w:rsidRPr="00FD28B1">
        <w:rPr>
          <w:szCs w:val="28"/>
        </w:rPr>
        <w:t xml:space="preserve"> </w:t>
      </w:r>
      <w:r w:rsidR="007E0669">
        <w:rPr>
          <w:szCs w:val="28"/>
        </w:rPr>
        <w:t xml:space="preserve">Ставропольского края </w:t>
      </w:r>
      <w:r w:rsidR="007E0669" w:rsidRPr="00FD28B1">
        <w:rPr>
          <w:szCs w:val="28"/>
        </w:rPr>
        <w:t>до 20</w:t>
      </w:r>
      <w:r w:rsidR="006A22F8">
        <w:rPr>
          <w:szCs w:val="28"/>
        </w:rPr>
        <w:t>35</w:t>
      </w:r>
      <w:r w:rsidR="007E0669" w:rsidRPr="00FD28B1">
        <w:rPr>
          <w:szCs w:val="28"/>
        </w:rPr>
        <w:t xml:space="preserve"> года</w:t>
      </w:r>
      <w:r w:rsidR="007A15F1">
        <w:rPr>
          <w:szCs w:val="28"/>
        </w:rPr>
        <w:t xml:space="preserve"> за 202</w:t>
      </w:r>
      <w:r w:rsidR="00C97A3B">
        <w:rPr>
          <w:szCs w:val="28"/>
        </w:rPr>
        <w:t>3</w:t>
      </w:r>
      <w:r w:rsidR="007E0669" w:rsidRPr="00FD28B1">
        <w:rPr>
          <w:szCs w:val="28"/>
        </w:rPr>
        <w:t xml:space="preserve"> год</w:t>
      </w:r>
    </w:p>
    <w:p w:rsidR="007E0669" w:rsidRDefault="007E0669" w:rsidP="00AA15BB">
      <w:pPr>
        <w:ind w:firstLine="708"/>
        <w:jc w:val="both"/>
        <w:rPr>
          <w:szCs w:val="28"/>
        </w:rPr>
      </w:pPr>
    </w:p>
    <w:p w:rsidR="00FE3AB0" w:rsidRDefault="00FE3AB0" w:rsidP="00AA15BB">
      <w:pPr>
        <w:ind w:firstLine="708"/>
        <w:jc w:val="both"/>
        <w:rPr>
          <w:szCs w:val="28"/>
        </w:rPr>
      </w:pPr>
    </w:p>
    <w:p w:rsidR="007E0669" w:rsidRDefault="007E0669" w:rsidP="00AA15BB">
      <w:pPr>
        <w:ind w:firstLine="708"/>
        <w:jc w:val="both"/>
        <w:rPr>
          <w:szCs w:val="28"/>
        </w:rPr>
      </w:pPr>
      <w:r>
        <w:rPr>
          <w:szCs w:val="28"/>
        </w:rPr>
        <w:t>В соответствии с п.4.4</w:t>
      </w:r>
      <w:r w:rsidR="00332DF2">
        <w:rPr>
          <w:szCs w:val="28"/>
        </w:rPr>
        <w:t>)</w:t>
      </w:r>
      <w:r w:rsidRPr="00860ED7">
        <w:rPr>
          <w:szCs w:val="28"/>
        </w:rPr>
        <w:t xml:space="preserve"> </w:t>
      </w:r>
      <w:r>
        <w:rPr>
          <w:szCs w:val="28"/>
        </w:rPr>
        <w:t xml:space="preserve">ч.1 </w:t>
      </w:r>
      <w:r w:rsidRPr="00860ED7">
        <w:rPr>
          <w:szCs w:val="28"/>
        </w:rPr>
        <w:t>ст.17 Федерального Закона от 06.10.2003</w:t>
      </w:r>
      <w:r w:rsidR="00DF5832">
        <w:rPr>
          <w:szCs w:val="28"/>
        </w:rPr>
        <w:t xml:space="preserve"> </w:t>
      </w:r>
      <w:r w:rsidRPr="00860ED7">
        <w:rPr>
          <w:szCs w:val="28"/>
        </w:rPr>
        <w:t>№ 131</w:t>
      </w:r>
      <w:r w:rsidR="00697677">
        <w:rPr>
          <w:szCs w:val="28"/>
        </w:rPr>
        <w:t xml:space="preserve"> </w:t>
      </w:r>
      <w:r w:rsidRPr="00860ED7">
        <w:rPr>
          <w:szCs w:val="28"/>
        </w:rPr>
        <w:t>-</w:t>
      </w:r>
      <w:r w:rsidR="00697677">
        <w:rPr>
          <w:szCs w:val="28"/>
        </w:rPr>
        <w:t xml:space="preserve"> </w:t>
      </w:r>
      <w:r w:rsidRPr="00860ED7">
        <w:rPr>
          <w:szCs w:val="28"/>
        </w:rPr>
        <w:t>ФЗ «Об общих принципах организации местного самоуправлен</w:t>
      </w:r>
      <w:r>
        <w:rPr>
          <w:szCs w:val="28"/>
        </w:rPr>
        <w:t>ия в Российской Федерации», п. 7.</w:t>
      </w:r>
      <w:r w:rsidRPr="00332DF2">
        <w:rPr>
          <w:szCs w:val="28"/>
          <w:vertAlign w:val="superscript"/>
        </w:rPr>
        <w:t>1</w:t>
      </w:r>
      <w:r w:rsidR="00332DF2">
        <w:rPr>
          <w:szCs w:val="28"/>
        </w:rPr>
        <w:t>)</w:t>
      </w:r>
      <w:r>
        <w:rPr>
          <w:szCs w:val="28"/>
        </w:rPr>
        <w:t xml:space="preserve"> ч. 1</w:t>
      </w:r>
      <w:r w:rsidRPr="00860ED7">
        <w:rPr>
          <w:szCs w:val="28"/>
        </w:rPr>
        <w:t xml:space="preserve"> ст.</w:t>
      </w:r>
      <w:r>
        <w:rPr>
          <w:szCs w:val="28"/>
        </w:rPr>
        <w:t xml:space="preserve"> </w:t>
      </w:r>
      <w:r w:rsidRPr="00860ED7">
        <w:rPr>
          <w:szCs w:val="28"/>
        </w:rPr>
        <w:t>12 Закона Ставропольского края</w:t>
      </w:r>
      <w:r w:rsidR="00FD7BF7">
        <w:rPr>
          <w:szCs w:val="28"/>
        </w:rPr>
        <w:t xml:space="preserve"> </w:t>
      </w:r>
      <w:r w:rsidRPr="00860ED7">
        <w:rPr>
          <w:szCs w:val="28"/>
        </w:rPr>
        <w:t>от 02.03.2005 № 12</w:t>
      </w:r>
      <w:r w:rsidR="00BA4360">
        <w:rPr>
          <w:szCs w:val="28"/>
        </w:rPr>
        <w:t xml:space="preserve"> </w:t>
      </w:r>
      <w:r w:rsidRPr="00860ED7">
        <w:rPr>
          <w:szCs w:val="28"/>
        </w:rPr>
        <w:t>-</w:t>
      </w:r>
      <w:r w:rsidR="00BA4360">
        <w:rPr>
          <w:szCs w:val="28"/>
        </w:rPr>
        <w:t xml:space="preserve"> </w:t>
      </w:r>
      <w:r w:rsidR="008A57F9">
        <w:rPr>
          <w:szCs w:val="28"/>
        </w:rPr>
        <w:t>кз</w:t>
      </w:r>
      <w:r w:rsidRPr="00860ED7">
        <w:rPr>
          <w:szCs w:val="28"/>
        </w:rPr>
        <w:t xml:space="preserve"> «О местном самоуправлении в Ставропольском крае», </w:t>
      </w:r>
      <w:r w:rsidRPr="00860ED7">
        <w:rPr>
          <w:bCs/>
        </w:rPr>
        <w:t xml:space="preserve">Уставом Новоалександровского </w:t>
      </w:r>
      <w:r w:rsidR="00C97A3B">
        <w:rPr>
          <w:bCs/>
        </w:rPr>
        <w:t>муниципального</w:t>
      </w:r>
      <w:r>
        <w:rPr>
          <w:bCs/>
        </w:rPr>
        <w:t xml:space="preserve"> округа</w:t>
      </w:r>
      <w:r w:rsidRPr="00860ED7">
        <w:rPr>
          <w:bCs/>
        </w:rPr>
        <w:t xml:space="preserve"> Ставропольского края,</w:t>
      </w:r>
      <w:r w:rsidR="00EC6F3D" w:rsidRPr="00EC6F3D">
        <w:rPr>
          <w:szCs w:val="28"/>
        </w:rPr>
        <w:t xml:space="preserve"> </w:t>
      </w:r>
      <w:r w:rsidR="00470655">
        <w:rPr>
          <w:szCs w:val="28"/>
        </w:rPr>
        <w:t>решением</w:t>
      </w:r>
      <w:r w:rsidR="00470655" w:rsidRPr="00BB2B66">
        <w:rPr>
          <w:szCs w:val="28"/>
        </w:rPr>
        <w:t xml:space="preserve"> Совета </w:t>
      </w:r>
      <w:r w:rsidR="00470655">
        <w:rPr>
          <w:szCs w:val="28"/>
        </w:rPr>
        <w:t xml:space="preserve">депутатов </w:t>
      </w:r>
      <w:r w:rsidR="00470655" w:rsidRPr="00BB2B66">
        <w:rPr>
          <w:szCs w:val="28"/>
        </w:rPr>
        <w:t xml:space="preserve">Новоалександровского </w:t>
      </w:r>
      <w:r w:rsidR="00470655">
        <w:rPr>
          <w:szCs w:val="28"/>
        </w:rPr>
        <w:t>городского округа</w:t>
      </w:r>
      <w:r w:rsidR="00470655" w:rsidRPr="00BB2B66">
        <w:rPr>
          <w:szCs w:val="28"/>
        </w:rPr>
        <w:t xml:space="preserve"> Ставропо</w:t>
      </w:r>
      <w:r w:rsidR="00470655">
        <w:rPr>
          <w:szCs w:val="28"/>
        </w:rPr>
        <w:t xml:space="preserve">льского края первого созыва от 10.12.2019 №32/349 </w:t>
      </w:r>
      <w:r w:rsidRPr="00505D00">
        <w:rPr>
          <w:szCs w:val="28"/>
        </w:rPr>
        <w:t xml:space="preserve">«О </w:t>
      </w:r>
      <w:r w:rsidR="00FD5B39" w:rsidRPr="00505D00">
        <w:rPr>
          <w:szCs w:val="28"/>
        </w:rPr>
        <w:t>С</w:t>
      </w:r>
      <w:r w:rsidRPr="00505D00">
        <w:rPr>
          <w:szCs w:val="28"/>
        </w:rPr>
        <w:t>тратегии социально</w:t>
      </w:r>
      <w:r w:rsidR="00C97A3B" w:rsidRPr="00505D00">
        <w:rPr>
          <w:szCs w:val="28"/>
        </w:rPr>
        <w:t xml:space="preserve">  </w:t>
      </w:r>
      <w:r w:rsidRPr="00505D00">
        <w:rPr>
          <w:szCs w:val="28"/>
        </w:rPr>
        <w:t xml:space="preserve">-экономического развития Новоалександровского </w:t>
      </w:r>
      <w:r w:rsidR="00FD5B39" w:rsidRPr="00505D00">
        <w:rPr>
          <w:szCs w:val="28"/>
        </w:rPr>
        <w:t xml:space="preserve">городского округа Ставропольского края </w:t>
      </w:r>
      <w:r w:rsidRPr="00505D00">
        <w:rPr>
          <w:szCs w:val="28"/>
        </w:rPr>
        <w:t>до 20</w:t>
      </w:r>
      <w:r w:rsidR="00FD5B39" w:rsidRPr="00505D00">
        <w:rPr>
          <w:szCs w:val="28"/>
        </w:rPr>
        <w:t>35</w:t>
      </w:r>
      <w:r w:rsidRPr="00505D00">
        <w:rPr>
          <w:szCs w:val="28"/>
        </w:rPr>
        <w:t xml:space="preserve"> года»,</w:t>
      </w:r>
      <w:r w:rsidR="00DF5832" w:rsidRPr="00DF5832">
        <w:rPr>
          <w:szCs w:val="28"/>
        </w:rPr>
        <w:t xml:space="preserve"> </w:t>
      </w:r>
      <w:r w:rsidR="00DF5832">
        <w:rPr>
          <w:szCs w:val="28"/>
        </w:rPr>
        <w:t xml:space="preserve">Порядком разработки, корректировки, осуществления мониторинга и контроля реализации </w:t>
      </w:r>
      <w:r w:rsidR="00C97A3B">
        <w:rPr>
          <w:szCs w:val="28"/>
        </w:rPr>
        <w:t>С</w:t>
      </w:r>
      <w:r w:rsidR="00DF5832">
        <w:rPr>
          <w:szCs w:val="28"/>
        </w:rPr>
        <w:t>тратегии социально</w:t>
      </w:r>
      <w:r w:rsidR="00470655">
        <w:rPr>
          <w:szCs w:val="28"/>
        </w:rPr>
        <w:t xml:space="preserve">  </w:t>
      </w:r>
      <w:r w:rsidR="00DF5832">
        <w:rPr>
          <w:szCs w:val="28"/>
        </w:rPr>
        <w:t xml:space="preserve">-экономического развития Новоалександровского </w:t>
      </w:r>
      <w:r w:rsidR="00C97A3B">
        <w:rPr>
          <w:szCs w:val="28"/>
        </w:rPr>
        <w:t>муниципального</w:t>
      </w:r>
      <w:r w:rsidR="00DF5832">
        <w:rPr>
          <w:szCs w:val="28"/>
        </w:rPr>
        <w:t xml:space="preserve"> округа Ставропольского края, утвержденным постановлением администрации Новоалександровского </w:t>
      </w:r>
      <w:r w:rsidR="00C97A3B">
        <w:rPr>
          <w:szCs w:val="28"/>
        </w:rPr>
        <w:t>муниципального</w:t>
      </w:r>
      <w:r w:rsidR="00DF5832">
        <w:rPr>
          <w:szCs w:val="28"/>
        </w:rPr>
        <w:t xml:space="preserve"> округа Ставропольского края от </w:t>
      </w:r>
      <w:r w:rsidR="00C97A3B">
        <w:rPr>
          <w:szCs w:val="28"/>
        </w:rPr>
        <w:t>25</w:t>
      </w:r>
      <w:r w:rsidR="00DF5832">
        <w:rPr>
          <w:szCs w:val="28"/>
        </w:rPr>
        <w:t>.0</w:t>
      </w:r>
      <w:r w:rsidR="00C97A3B">
        <w:rPr>
          <w:szCs w:val="28"/>
        </w:rPr>
        <w:t>3</w:t>
      </w:r>
      <w:r w:rsidR="00DF5832">
        <w:rPr>
          <w:szCs w:val="28"/>
        </w:rPr>
        <w:t>.20</w:t>
      </w:r>
      <w:r w:rsidR="00C97A3B">
        <w:rPr>
          <w:szCs w:val="28"/>
        </w:rPr>
        <w:t>24</w:t>
      </w:r>
      <w:r w:rsidR="00DF5832">
        <w:rPr>
          <w:szCs w:val="28"/>
        </w:rPr>
        <w:t xml:space="preserve"> № </w:t>
      </w:r>
      <w:r w:rsidR="00C97A3B">
        <w:rPr>
          <w:szCs w:val="28"/>
        </w:rPr>
        <w:t>44</w:t>
      </w:r>
      <w:r w:rsidR="00DF5832">
        <w:rPr>
          <w:szCs w:val="28"/>
        </w:rPr>
        <w:t>9,</w:t>
      </w:r>
      <w:r w:rsidRPr="0077633D">
        <w:rPr>
          <w:szCs w:val="28"/>
        </w:rPr>
        <w:t xml:space="preserve"> </w:t>
      </w:r>
      <w:r w:rsidRPr="00860ED7">
        <w:rPr>
          <w:bCs/>
        </w:rPr>
        <w:t xml:space="preserve">Совет </w:t>
      </w:r>
      <w:r>
        <w:rPr>
          <w:bCs/>
        </w:rPr>
        <w:t xml:space="preserve">депутатов </w:t>
      </w:r>
      <w:r w:rsidRPr="00860ED7">
        <w:rPr>
          <w:bCs/>
        </w:rPr>
        <w:t xml:space="preserve">Новоалександровского </w:t>
      </w:r>
      <w:r w:rsidR="00C97A3B">
        <w:rPr>
          <w:bCs/>
        </w:rPr>
        <w:t>муниципального</w:t>
      </w:r>
      <w:r>
        <w:rPr>
          <w:bCs/>
        </w:rPr>
        <w:t xml:space="preserve"> округа </w:t>
      </w:r>
      <w:r w:rsidRPr="00860ED7">
        <w:rPr>
          <w:bCs/>
        </w:rPr>
        <w:t xml:space="preserve">Ставропольского </w:t>
      </w:r>
      <w:r w:rsidRPr="00860ED7">
        <w:rPr>
          <w:bCs/>
          <w:szCs w:val="28"/>
        </w:rPr>
        <w:t>края</w:t>
      </w:r>
    </w:p>
    <w:p w:rsidR="007E0669" w:rsidRDefault="007E0669" w:rsidP="00AA15BB">
      <w:pPr>
        <w:ind w:firstLine="708"/>
        <w:jc w:val="both"/>
        <w:rPr>
          <w:szCs w:val="28"/>
        </w:rPr>
      </w:pPr>
    </w:p>
    <w:p w:rsidR="007E0669" w:rsidRDefault="007E0669" w:rsidP="00AA15BB">
      <w:pPr>
        <w:pStyle w:val="ConsTitle"/>
        <w:rPr>
          <w:rFonts w:ascii="Times New Roman" w:hAnsi="Times New Roman"/>
          <w:b w:val="0"/>
          <w:bCs w:val="0"/>
          <w:sz w:val="28"/>
        </w:rPr>
      </w:pPr>
      <w:r w:rsidRPr="007E0669">
        <w:rPr>
          <w:rFonts w:ascii="Times New Roman" w:hAnsi="Times New Roman"/>
          <w:b w:val="0"/>
          <w:bCs w:val="0"/>
          <w:sz w:val="28"/>
        </w:rPr>
        <w:t>РЕШИЛ:</w:t>
      </w:r>
    </w:p>
    <w:p w:rsidR="00DF5832" w:rsidRDefault="00DF5832" w:rsidP="00AA15BB">
      <w:pPr>
        <w:pStyle w:val="ConsTitle"/>
        <w:rPr>
          <w:rFonts w:ascii="Times New Roman" w:hAnsi="Times New Roman"/>
          <w:b w:val="0"/>
          <w:bCs w:val="0"/>
          <w:sz w:val="28"/>
        </w:rPr>
      </w:pPr>
    </w:p>
    <w:p w:rsidR="007E0669" w:rsidRDefault="007E0669" w:rsidP="00AA15BB">
      <w:pPr>
        <w:ind w:firstLine="708"/>
        <w:jc w:val="both"/>
        <w:rPr>
          <w:szCs w:val="28"/>
        </w:rPr>
      </w:pPr>
      <w:r w:rsidRPr="00FD5B39">
        <w:rPr>
          <w:szCs w:val="28"/>
        </w:rPr>
        <w:t>1.</w:t>
      </w:r>
      <w:r w:rsidR="00FE3AB0">
        <w:rPr>
          <w:szCs w:val="28"/>
        </w:rPr>
        <w:t xml:space="preserve"> </w:t>
      </w:r>
      <w:r w:rsidR="008A57F9" w:rsidRPr="00FD5B39">
        <w:rPr>
          <w:szCs w:val="28"/>
        </w:rPr>
        <w:t>Принять к сведению о</w:t>
      </w:r>
      <w:r w:rsidRPr="00FD5B39">
        <w:rPr>
          <w:szCs w:val="28"/>
        </w:rPr>
        <w:t xml:space="preserve">тчет о реализации Стратегии социально-экономического развития Новоалександровского </w:t>
      </w:r>
      <w:r w:rsidR="00FD5B39" w:rsidRPr="00FD5B39">
        <w:rPr>
          <w:szCs w:val="28"/>
        </w:rPr>
        <w:t>городского округа Ставропольского края</w:t>
      </w:r>
      <w:r w:rsidRPr="00FD5B39">
        <w:rPr>
          <w:szCs w:val="28"/>
        </w:rPr>
        <w:t xml:space="preserve"> до 20</w:t>
      </w:r>
      <w:r w:rsidR="001B6DE6" w:rsidRPr="00FD5B39">
        <w:rPr>
          <w:szCs w:val="28"/>
        </w:rPr>
        <w:t>35</w:t>
      </w:r>
      <w:r w:rsidRPr="00FD5B39">
        <w:rPr>
          <w:szCs w:val="28"/>
        </w:rPr>
        <w:t xml:space="preserve"> года</w:t>
      </w:r>
      <w:r w:rsidR="005A2D01">
        <w:rPr>
          <w:szCs w:val="28"/>
        </w:rPr>
        <w:t xml:space="preserve"> за 2023 год</w:t>
      </w:r>
      <w:r w:rsidR="001B6DE6" w:rsidRPr="00FD5B39">
        <w:rPr>
          <w:szCs w:val="28"/>
        </w:rPr>
        <w:t>,</w:t>
      </w:r>
      <w:r w:rsidR="00527906">
        <w:rPr>
          <w:szCs w:val="28"/>
        </w:rPr>
        <w:t xml:space="preserve"> </w:t>
      </w:r>
      <w:r w:rsidRPr="00FD5B39">
        <w:rPr>
          <w:szCs w:val="28"/>
        </w:rPr>
        <w:t xml:space="preserve">утвержденной </w:t>
      </w:r>
      <w:r w:rsidRPr="00FD5B39">
        <w:rPr>
          <w:bCs/>
        </w:rPr>
        <w:t>решением Совета</w:t>
      </w:r>
      <w:r w:rsidR="001B6DE6" w:rsidRPr="00FD5B39">
        <w:rPr>
          <w:bCs/>
        </w:rPr>
        <w:t xml:space="preserve"> депутатов</w:t>
      </w:r>
      <w:r w:rsidRPr="00FD5B39">
        <w:rPr>
          <w:bCs/>
        </w:rPr>
        <w:t xml:space="preserve"> Новоалександровского </w:t>
      </w:r>
      <w:r w:rsidR="001B6DE6" w:rsidRPr="00FD5B39">
        <w:rPr>
          <w:bCs/>
        </w:rPr>
        <w:t>городского округа</w:t>
      </w:r>
      <w:r w:rsidRPr="00FD5B39">
        <w:rPr>
          <w:bCs/>
        </w:rPr>
        <w:t xml:space="preserve"> Ставропольского </w:t>
      </w:r>
      <w:r w:rsidRPr="00FD5B39">
        <w:rPr>
          <w:bCs/>
          <w:szCs w:val="28"/>
        </w:rPr>
        <w:t>края</w:t>
      </w:r>
      <w:r w:rsidRPr="00FD5B39">
        <w:rPr>
          <w:szCs w:val="28"/>
        </w:rPr>
        <w:t xml:space="preserve"> </w:t>
      </w:r>
      <w:r w:rsidR="001B6DE6" w:rsidRPr="00FD5B39">
        <w:rPr>
          <w:szCs w:val="28"/>
        </w:rPr>
        <w:t>первого</w:t>
      </w:r>
      <w:r w:rsidRPr="00FD5B39">
        <w:rPr>
          <w:szCs w:val="28"/>
        </w:rPr>
        <w:t xml:space="preserve"> созыва от 1</w:t>
      </w:r>
      <w:r w:rsidR="00FD5B39" w:rsidRPr="00FD5B39">
        <w:rPr>
          <w:szCs w:val="28"/>
        </w:rPr>
        <w:t>0</w:t>
      </w:r>
      <w:r w:rsidR="00DF5832">
        <w:rPr>
          <w:szCs w:val="28"/>
        </w:rPr>
        <w:t>.12.</w:t>
      </w:r>
      <w:r w:rsidRPr="00FD5B39">
        <w:rPr>
          <w:szCs w:val="28"/>
        </w:rPr>
        <w:t>201</w:t>
      </w:r>
      <w:r w:rsidR="00FD5B39" w:rsidRPr="00FD5B39">
        <w:rPr>
          <w:szCs w:val="28"/>
        </w:rPr>
        <w:t>9</w:t>
      </w:r>
      <w:r w:rsidRPr="00FD5B39">
        <w:rPr>
          <w:szCs w:val="28"/>
        </w:rPr>
        <w:t xml:space="preserve"> № </w:t>
      </w:r>
      <w:r w:rsidR="00FD5B39" w:rsidRPr="00FD5B39">
        <w:rPr>
          <w:szCs w:val="28"/>
        </w:rPr>
        <w:t>32</w:t>
      </w:r>
      <w:r w:rsidRPr="00FD5B39">
        <w:rPr>
          <w:szCs w:val="28"/>
        </w:rPr>
        <w:t>/3</w:t>
      </w:r>
      <w:r w:rsidR="00FD5B39" w:rsidRPr="00FD5B39">
        <w:rPr>
          <w:szCs w:val="28"/>
        </w:rPr>
        <w:t>49</w:t>
      </w:r>
      <w:r w:rsidR="007A15F1">
        <w:rPr>
          <w:szCs w:val="28"/>
        </w:rPr>
        <w:t xml:space="preserve"> за 202</w:t>
      </w:r>
      <w:r w:rsidR="00C97A3B">
        <w:rPr>
          <w:szCs w:val="28"/>
        </w:rPr>
        <w:t>3</w:t>
      </w:r>
      <w:r w:rsidR="00513DF0">
        <w:rPr>
          <w:szCs w:val="28"/>
        </w:rPr>
        <w:t xml:space="preserve"> год,</w:t>
      </w:r>
      <w:r w:rsidR="00332DF2">
        <w:rPr>
          <w:szCs w:val="28"/>
        </w:rPr>
        <w:t xml:space="preserve"> </w:t>
      </w:r>
      <w:r w:rsidRPr="00FD5B39">
        <w:rPr>
          <w:szCs w:val="28"/>
        </w:rPr>
        <w:t>согласно приложению.</w:t>
      </w:r>
    </w:p>
    <w:p w:rsidR="00A3650D" w:rsidRDefault="00A3650D" w:rsidP="00AA15BB">
      <w:pPr>
        <w:ind w:firstLine="708"/>
        <w:jc w:val="both"/>
        <w:rPr>
          <w:szCs w:val="28"/>
        </w:rPr>
      </w:pPr>
    </w:p>
    <w:p w:rsidR="007E0669" w:rsidRPr="00FE3AB0" w:rsidRDefault="00A3650D" w:rsidP="00AA15BB">
      <w:pPr>
        <w:ind w:firstLine="708"/>
        <w:jc w:val="both"/>
        <w:rPr>
          <w:color w:val="000000" w:themeColor="text1"/>
          <w:szCs w:val="28"/>
        </w:rPr>
      </w:pPr>
      <w:r>
        <w:rPr>
          <w:szCs w:val="28"/>
        </w:rPr>
        <w:t>2.</w:t>
      </w:r>
      <w:r w:rsidR="00FE3AB0">
        <w:rPr>
          <w:szCs w:val="28"/>
        </w:rPr>
        <w:t xml:space="preserve"> </w:t>
      </w:r>
      <w:r w:rsidR="005C0EB3">
        <w:rPr>
          <w:szCs w:val="28"/>
        </w:rPr>
        <w:t xml:space="preserve">Разместить настоящее решение </w:t>
      </w:r>
      <w:r w:rsidR="00B93517">
        <w:rPr>
          <w:szCs w:val="28"/>
        </w:rPr>
        <w:t xml:space="preserve">на официальном </w:t>
      </w:r>
      <w:r w:rsidR="00B93517" w:rsidRPr="0026524C">
        <w:rPr>
          <w:szCs w:val="28"/>
        </w:rPr>
        <w:t>сайте</w:t>
      </w:r>
      <w:r w:rsidR="00B93517" w:rsidRPr="0026524C">
        <w:rPr>
          <w:rStyle w:val="layout"/>
          <w:szCs w:val="28"/>
        </w:rPr>
        <w:t xml:space="preserve"> Новоалександровского муниципального округа Ставропольского края </w:t>
      </w:r>
      <w:r w:rsidR="00B93517" w:rsidRPr="00FE3AB0">
        <w:rPr>
          <w:rStyle w:val="layout"/>
          <w:color w:val="000000" w:themeColor="text1"/>
          <w:szCs w:val="28"/>
        </w:rPr>
        <w:t>(</w:t>
      </w:r>
      <w:hyperlink r:id="rId9" w:history="1">
        <w:r w:rsidR="00B93517" w:rsidRPr="00FE3AB0">
          <w:rPr>
            <w:rStyle w:val="aa"/>
            <w:color w:val="000000" w:themeColor="text1"/>
            <w:szCs w:val="28"/>
          </w:rPr>
          <w:t>https://newalexandrovsk.gosuslugi.ru/</w:t>
        </w:r>
      </w:hyperlink>
      <w:r w:rsidR="00B93517" w:rsidRPr="00FE3AB0">
        <w:rPr>
          <w:rStyle w:val="layout"/>
          <w:color w:val="000000" w:themeColor="text1"/>
          <w:szCs w:val="28"/>
        </w:rPr>
        <w:t>).</w:t>
      </w:r>
    </w:p>
    <w:p w:rsidR="00FD5B39" w:rsidRPr="00FE3AB0" w:rsidRDefault="00FD5B39" w:rsidP="00AA15BB">
      <w:pPr>
        <w:pStyle w:val="a3"/>
        <w:spacing w:after="0"/>
        <w:ind w:firstLine="708"/>
        <w:jc w:val="both"/>
        <w:rPr>
          <w:color w:val="000000" w:themeColor="text1"/>
          <w:szCs w:val="28"/>
        </w:rPr>
      </w:pPr>
    </w:p>
    <w:p w:rsidR="00F41094" w:rsidRDefault="008A57F9" w:rsidP="00AA15BB">
      <w:pPr>
        <w:widowControl w:val="0"/>
        <w:autoSpaceDE w:val="0"/>
        <w:autoSpaceDN w:val="0"/>
        <w:adjustRightInd w:val="0"/>
        <w:ind w:firstLine="708"/>
        <w:rPr>
          <w:b/>
          <w:bCs/>
          <w:szCs w:val="28"/>
          <w:lang w:eastAsia="ru-RU"/>
        </w:rPr>
      </w:pPr>
      <w:r>
        <w:t>3</w:t>
      </w:r>
      <w:r w:rsidR="005C0EB3">
        <w:t>. Настоящее решение вступает в силу со дня его принятия.</w:t>
      </w:r>
    </w:p>
    <w:p w:rsidR="00F41094" w:rsidRDefault="00F41094" w:rsidP="00AA15BB">
      <w:pPr>
        <w:ind w:firstLine="708"/>
        <w:jc w:val="both"/>
      </w:pPr>
    </w:p>
    <w:p w:rsidR="00FE3AB0" w:rsidRDefault="00FE3AB0" w:rsidP="00AA15BB">
      <w:pPr>
        <w:ind w:firstLine="708"/>
        <w:jc w:val="both"/>
      </w:pPr>
    </w:p>
    <w:p w:rsidR="00FE3AB0" w:rsidRDefault="00FE3AB0" w:rsidP="00AA15BB">
      <w:pPr>
        <w:ind w:firstLine="708"/>
        <w:jc w:val="both"/>
      </w:pPr>
    </w:p>
    <w:p w:rsidR="00F41094" w:rsidRDefault="00F41094" w:rsidP="00AA15BB">
      <w:pPr>
        <w:pStyle w:val="ConsPlusNormal"/>
        <w:ind w:firstLine="0"/>
        <w:jc w:val="both"/>
        <w:outlineLvl w:val="1"/>
        <w:rPr>
          <w:rFonts w:ascii="Times New Roman" w:hAnsi="Times New Roman" w:cs="Times New Roman"/>
          <w:sz w:val="28"/>
          <w:szCs w:val="28"/>
        </w:rPr>
      </w:pPr>
      <w:r w:rsidRPr="00E22470">
        <w:rPr>
          <w:rFonts w:ascii="Times New Roman" w:hAnsi="Times New Roman" w:cs="Times New Roman"/>
          <w:sz w:val="28"/>
          <w:szCs w:val="28"/>
        </w:rPr>
        <w:t>Председатель Совета депутатов</w:t>
      </w:r>
    </w:p>
    <w:p w:rsidR="008C0330" w:rsidRDefault="00F41094" w:rsidP="00AA15BB">
      <w:pPr>
        <w:pStyle w:val="ConsPlusNormal"/>
        <w:ind w:firstLine="0"/>
        <w:jc w:val="both"/>
        <w:outlineLvl w:val="1"/>
        <w:rPr>
          <w:rFonts w:ascii="Times New Roman" w:hAnsi="Times New Roman" w:cs="Times New Roman"/>
          <w:sz w:val="28"/>
          <w:szCs w:val="28"/>
        </w:rPr>
      </w:pPr>
      <w:r w:rsidRPr="00E22470">
        <w:rPr>
          <w:rFonts w:ascii="Times New Roman" w:hAnsi="Times New Roman" w:cs="Times New Roman"/>
          <w:sz w:val="28"/>
          <w:szCs w:val="28"/>
        </w:rPr>
        <w:t xml:space="preserve">Новоалександровского </w:t>
      </w:r>
    </w:p>
    <w:p w:rsidR="008C0330" w:rsidRDefault="008C0330" w:rsidP="00AA15BB">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М</w:t>
      </w:r>
      <w:r w:rsidR="00B93517">
        <w:rPr>
          <w:rFonts w:ascii="Times New Roman" w:hAnsi="Times New Roman" w:cs="Times New Roman"/>
          <w:sz w:val="28"/>
          <w:szCs w:val="28"/>
        </w:rPr>
        <w:t>униципальн</w:t>
      </w:r>
      <w:r w:rsidR="00F41094" w:rsidRPr="00E22470">
        <w:rPr>
          <w:rFonts w:ascii="Times New Roman" w:hAnsi="Times New Roman" w:cs="Times New Roman"/>
          <w:sz w:val="28"/>
          <w:szCs w:val="28"/>
        </w:rPr>
        <w:t>ого</w:t>
      </w:r>
      <w:r>
        <w:rPr>
          <w:rFonts w:ascii="Times New Roman" w:hAnsi="Times New Roman" w:cs="Times New Roman"/>
          <w:sz w:val="28"/>
          <w:szCs w:val="28"/>
        </w:rPr>
        <w:t xml:space="preserve"> </w:t>
      </w:r>
      <w:r w:rsidR="00F41094" w:rsidRPr="00E22470">
        <w:rPr>
          <w:rFonts w:ascii="Times New Roman" w:hAnsi="Times New Roman" w:cs="Times New Roman"/>
          <w:sz w:val="28"/>
          <w:szCs w:val="28"/>
        </w:rPr>
        <w:t xml:space="preserve">округа </w:t>
      </w:r>
    </w:p>
    <w:p w:rsidR="00F41094" w:rsidRPr="00E22470" w:rsidRDefault="00F41094" w:rsidP="00AA15BB">
      <w:pPr>
        <w:pStyle w:val="ConsPlusNormal"/>
        <w:ind w:firstLine="0"/>
        <w:jc w:val="both"/>
        <w:outlineLvl w:val="1"/>
        <w:rPr>
          <w:rFonts w:ascii="Times New Roman" w:hAnsi="Times New Roman" w:cs="Times New Roman"/>
          <w:sz w:val="28"/>
          <w:szCs w:val="28"/>
        </w:rPr>
      </w:pPr>
      <w:r w:rsidRPr="00E22470">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sidR="00B93517">
        <w:rPr>
          <w:rFonts w:ascii="Times New Roman" w:hAnsi="Times New Roman" w:cs="Times New Roman"/>
          <w:sz w:val="28"/>
          <w:szCs w:val="28"/>
        </w:rPr>
        <w:t xml:space="preserve">                  </w:t>
      </w:r>
      <w:r w:rsidR="008C0330">
        <w:rPr>
          <w:rFonts w:ascii="Times New Roman" w:hAnsi="Times New Roman" w:cs="Times New Roman"/>
          <w:sz w:val="28"/>
          <w:szCs w:val="28"/>
        </w:rPr>
        <w:t xml:space="preserve">            </w:t>
      </w:r>
      <w:r w:rsidR="00B93517">
        <w:rPr>
          <w:rFonts w:ascii="Times New Roman" w:hAnsi="Times New Roman" w:cs="Times New Roman"/>
          <w:sz w:val="28"/>
          <w:szCs w:val="28"/>
        </w:rPr>
        <w:t xml:space="preserve">  С</w:t>
      </w:r>
      <w:r>
        <w:rPr>
          <w:rFonts w:ascii="Times New Roman" w:hAnsi="Times New Roman" w:cs="Times New Roman"/>
          <w:sz w:val="28"/>
          <w:szCs w:val="28"/>
        </w:rPr>
        <w:t xml:space="preserve">. В. </w:t>
      </w:r>
      <w:r w:rsidR="00B93517">
        <w:rPr>
          <w:rFonts w:ascii="Times New Roman" w:hAnsi="Times New Roman" w:cs="Times New Roman"/>
          <w:sz w:val="28"/>
          <w:szCs w:val="28"/>
        </w:rPr>
        <w:t>Шах</w:t>
      </w:r>
      <w:r>
        <w:rPr>
          <w:rFonts w:ascii="Times New Roman" w:hAnsi="Times New Roman" w:cs="Times New Roman"/>
          <w:sz w:val="28"/>
          <w:szCs w:val="28"/>
        </w:rPr>
        <w:t>ов</w:t>
      </w:r>
    </w:p>
    <w:p w:rsidR="00872F05" w:rsidRDefault="00872F05"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AA15BB" w:rsidRDefault="00AA15BB" w:rsidP="00AA15BB">
      <w:pPr>
        <w:jc w:val="both"/>
        <w:rPr>
          <w:szCs w:val="28"/>
        </w:rPr>
      </w:pPr>
    </w:p>
    <w:p w:rsidR="00AA15BB" w:rsidRDefault="00AA15BB" w:rsidP="00AA15BB">
      <w:pPr>
        <w:jc w:val="both"/>
        <w:rPr>
          <w:szCs w:val="28"/>
        </w:rPr>
      </w:pPr>
    </w:p>
    <w:p w:rsidR="00AA15BB" w:rsidRDefault="00AA15BB" w:rsidP="00AA15BB">
      <w:pPr>
        <w:jc w:val="both"/>
        <w:rPr>
          <w:szCs w:val="28"/>
        </w:rPr>
      </w:pPr>
    </w:p>
    <w:p w:rsidR="00AA15BB" w:rsidRDefault="00AA15BB" w:rsidP="00AA15BB">
      <w:pPr>
        <w:jc w:val="both"/>
        <w:rPr>
          <w:szCs w:val="28"/>
        </w:rPr>
      </w:pPr>
    </w:p>
    <w:p w:rsidR="00AA15BB" w:rsidRDefault="00AA15BB"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FE3AB0" w:rsidRDefault="00FE3AB0" w:rsidP="00AA15BB">
      <w:pPr>
        <w:jc w:val="both"/>
        <w:rPr>
          <w:szCs w:val="28"/>
        </w:rPr>
      </w:pPr>
    </w:p>
    <w:p w:rsidR="008C0330" w:rsidRDefault="008C0330" w:rsidP="00AA15BB">
      <w:pPr>
        <w:jc w:val="both"/>
        <w:rPr>
          <w:szCs w:val="28"/>
        </w:rPr>
      </w:pPr>
    </w:p>
    <w:p w:rsidR="00FE3AB0" w:rsidRPr="00FE3AB0" w:rsidRDefault="00FE3AB0" w:rsidP="00AA15BB">
      <w:pPr>
        <w:ind w:left="6237"/>
        <w:rPr>
          <w:szCs w:val="28"/>
        </w:rPr>
      </w:pPr>
      <w:bookmarkStart w:id="0" w:name="_GoBack"/>
      <w:bookmarkEnd w:id="0"/>
      <w:r w:rsidRPr="00FE3AB0">
        <w:rPr>
          <w:szCs w:val="28"/>
        </w:rPr>
        <w:lastRenderedPageBreak/>
        <w:t xml:space="preserve">Приложение 1 </w:t>
      </w:r>
    </w:p>
    <w:p w:rsidR="00FE3AB0" w:rsidRPr="00FE3AB0" w:rsidRDefault="00FE3AB0" w:rsidP="00AA15BB">
      <w:pPr>
        <w:ind w:left="6237"/>
        <w:rPr>
          <w:szCs w:val="28"/>
          <w:lang w:eastAsia="en-US"/>
        </w:rPr>
      </w:pPr>
      <w:proofErr w:type="gramStart"/>
      <w:r w:rsidRPr="00FE3AB0">
        <w:rPr>
          <w:szCs w:val="28"/>
        </w:rPr>
        <w:t>к</w:t>
      </w:r>
      <w:proofErr w:type="gramEnd"/>
      <w:r w:rsidRPr="00FE3AB0">
        <w:rPr>
          <w:szCs w:val="28"/>
        </w:rPr>
        <w:t xml:space="preserve"> решению</w:t>
      </w:r>
    </w:p>
    <w:p w:rsidR="00FE3AB0" w:rsidRPr="00FE3AB0" w:rsidRDefault="00FE3AB0" w:rsidP="00AA15BB">
      <w:pPr>
        <w:ind w:left="6237"/>
        <w:rPr>
          <w:szCs w:val="28"/>
        </w:rPr>
      </w:pPr>
      <w:r w:rsidRPr="00FE3AB0">
        <w:rPr>
          <w:szCs w:val="28"/>
        </w:rPr>
        <w:t>Совета депутатов</w:t>
      </w:r>
    </w:p>
    <w:p w:rsidR="00FE3AB0" w:rsidRPr="00FE3AB0" w:rsidRDefault="00FE3AB0" w:rsidP="00AA15BB">
      <w:pPr>
        <w:ind w:left="6237"/>
        <w:rPr>
          <w:szCs w:val="28"/>
        </w:rPr>
      </w:pPr>
      <w:r w:rsidRPr="00FE3AB0">
        <w:rPr>
          <w:szCs w:val="28"/>
        </w:rPr>
        <w:t>Новоалександровского</w:t>
      </w:r>
    </w:p>
    <w:p w:rsidR="00FE3AB0" w:rsidRPr="00FE3AB0" w:rsidRDefault="00FE3AB0" w:rsidP="00AA15BB">
      <w:pPr>
        <w:ind w:left="6237"/>
        <w:rPr>
          <w:szCs w:val="28"/>
        </w:rPr>
      </w:pPr>
      <w:proofErr w:type="gramStart"/>
      <w:r w:rsidRPr="00FE3AB0">
        <w:rPr>
          <w:szCs w:val="28"/>
        </w:rPr>
        <w:t>муниципального</w:t>
      </w:r>
      <w:proofErr w:type="gramEnd"/>
      <w:r w:rsidRPr="00FE3AB0">
        <w:rPr>
          <w:szCs w:val="28"/>
        </w:rPr>
        <w:t xml:space="preserve"> округа</w:t>
      </w:r>
    </w:p>
    <w:p w:rsidR="00FE3AB0" w:rsidRPr="00FE3AB0" w:rsidRDefault="00FE3AB0" w:rsidP="00AA15BB">
      <w:pPr>
        <w:ind w:left="6237"/>
        <w:rPr>
          <w:szCs w:val="28"/>
        </w:rPr>
      </w:pPr>
      <w:r w:rsidRPr="00FE3AB0">
        <w:rPr>
          <w:szCs w:val="28"/>
        </w:rPr>
        <w:t>Ставропольского края</w:t>
      </w:r>
    </w:p>
    <w:p w:rsidR="00FE3AB0" w:rsidRPr="00FE3AB0" w:rsidRDefault="00FE3AB0" w:rsidP="00AA15BB">
      <w:pPr>
        <w:ind w:left="6237"/>
        <w:rPr>
          <w:szCs w:val="28"/>
        </w:rPr>
      </w:pPr>
      <w:proofErr w:type="gramStart"/>
      <w:r w:rsidRPr="00FE3AB0">
        <w:rPr>
          <w:szCs w:val="28"/>
        </w:rPr>
        <w:t>от</w:t>
      </w:r>
      <w:proofErr w:type="gramEnd"/>
      <w:r w:rsidRPr="00FE3AB0">
        <w:rPr>
          <w:szCs w:val="28"/>
        </w:rPr>
        <w:t xml:space="preserve"> 25.04.2024 № 23/778</w:t>
      </w:r>
    </w:p>
    <w:p w:rsidR="00FE3AB0" w:rsidRPr="00FE3AB0" w:rsidRDefault="00FE3AB0" w:rsidP="00AA15BB">
      <w:pPr>
        <w:ind w:firstLine="708"/>
        <w:jc w:val="center"/>
        <w:rPr>
          <w:szCs w:val="28"/>
        </w:rPr>
      </w:pPr>
    </w:p>
    <w:p w:rsidR="00FE3AB0" w:rsidRPr="00FE3AB0" w:rsidRDefault="00FE3AB0" w:rsidP="00AA15BB">
      <w:pPr>
        <w:ind w:firstLine="708"/>
        <w:jc w:val="center"/>
        <w:rPr>
          <w:szCs w:val="28"/>
        </w:rPr>
      </w:pPr>
    </w:p>
    <w:p w:rsidR="00FE3AB0" w:rsidRPr="00FE3AB0" w:rsidRDefault="00FE3AB0" w:rsidP="00AA15BB">
      <w:pPr>
        <w:ind w:firstLine="708"/>
        <w:jc w:val="center"/>
        <w:rPr>
          <w:szCs w:val="28"/>
        </w:rPr>
      </w:pPr>
      <w:r w:rsidRPr="00FE3AB0">
        <w:rPr>
          <w:szCs w:val="28"/>
        </w:rPr>
        <w:t>Отчет</w:t>
      </w:r>
    </w:p>
    <w:p w:rsidR="00FE3AB0" w:rsidRPr="00FE3AB0" w:rsidRDefault="00FE3AB0" w:rsidP="00AA15BB">
      <w:pPr>
        <w:jc w:val="center"/>
        <w:rPr>
          <w:szCs w:val="28"/>
        </w:rPr>
      </w:pPr>
      <w:proofErr w:type="gramStart"/>
      <w:r w:rsidRPr="00FE3AB0">
        <w:rPr>
          <w:szCs w:val="28"/>
        </w:rPr>
        <w:t>о</w:t>
      </w:r>
      <w:proofErr w:type="gramEnd"/>
      <w:r w:rsidRPr="00FE3AB0">
        <w:rPr>
          <w:szCs w:val="28"/>
        </w:rPr>
        <w:t xml:space="preserve"> реализации Стратегии социально - экономического развития Новоалександровского городского округа Ставропольского края до 2035 года, утвержденной </w:t>
      </w:r>
      <w:r w:rsidRPr="00FE3AB0">
        <w:rPr>
          <w:bCs/>
        </w:rPr>
        <w:t xml:space="preserve">решением Совета депутатов Новоалександровского городского округа Ставропольского </w:t>
      </w:r>
      <w:r w:rsidRPr="00FE3AB0">
        <w:rPr>
          <w:bCs/>
          <w:szCs w:val="28"/>
        </w:rPr>
        <w:t>края</w:t>
      </w:r>
      <w:r w:rsidRPr="00FE3AB0">
        <w:rPr>
          <w:szCs w:val="28"/>
        </w:rPr>
        <w:t xml:space="preserve"> первого созыва </w:t>
      </w:r>
    </w:p>
    <w:p w:rsidR="00FE3AB0" w:rsidRPr="00FE3AB0" w:rsidRDefault="00FE3AB0" w:rsidP="00AA15BB">
      <w:pPr>
        <w:jc w:val="center"/>
        <w:rPr>
          <w:szCs w:val="28"/>
        </w:rPr>
      </w:pPr>
      <w:proofErr w:type="gramStart"/>
      <w:r w:rsidRPr="00FE3AB0">
        <w:rPr>
          <w:szCs w:val="28"/>
        </w:rPr>
        <w:t>от</w:t>
      </w:r>
      <w:proofErr w:type="gramEnd"/>
      <w:r w:rsidRPr="00FE3AB0">
        <w:rPr>
          <w:szCs w:val="28"/>
        </w:rPr>
        <w:t xml:space="preserve"> 10 декабря 2019 г. № 32/349 за 2023 год</w:t>
      </w:r>
    </w:p>
    <w:p w:rsidR="00FE3AB0" w:rsidRPr="00FE3AB0" w:rsidRDefault="00FE3AB0" w:rsidP="00AA15BB">
      <w:pPr>
        <w:jc w:val="center"/>
        <w:rPr>
          <w:szCs w:val="28"/>
        </w:rPr>
      </w:pPr>
    </w:p>
    <w:p w:rsidR="00FE3AB0" w:rsidRPr="00FE3AB0" w:rsidRDefault="00FE3AB0" w:rsidP="00AA15BB">
      <w:pPr>
        <w:ind w:firstLine="708"/>
        <w:jc w:val="both"/>
        <w:rPr>
          <w:szCs w:val="28"/>
        </w:rPr>
      </w:pPr>
      <w:r w:rsidRPr="00FE3AB0">
        <w:rPr>
          <w:szCs w:val="28"/>
        </w:rPr>
        <w:t>Стратегия социально - экономического развития Новоалександровского городского округа Ставропольского края до 2035 года, утвержденная решением Совета депутатов Новоалександровского городского округа Ставропольского края первого созыва от 10.12.2019 г. № 32/349 (внесены изменения от 07 сентября 2022 г. № 66/580) (далее - Стратегия),</w:t>
      </w:r>
      <w:r w:rsidRPr="00FE3AB0">
        <w:t xml:space="preserve"> разработана с учетом норм и требований Федерального закона от 28 июня 2014 года № 172 - ФЗ «О стратегическом планировании в Российской Федерации» и </w:t>
      </w:r>
      <w:r w:rsidRPr="00FE3AB0">
        <w:rPr>
          <w:szCs w:val="28"/>
        </w:rPr>
        <w:t>представляет собой видение желаемого будущего Новоалександровского городского округа Ставропольского края к 2035 году.</w:t>
      </w:r>
    </w:p>
    <w:p w:rsidR="00FE3AB0" w:rsidRPr="00FE3AB0" w:rsidRDefault="00FE3AB0" w:rsidP="00AA15BB">
      <w:pPr>
        <w:tabs>
          <w:tab w:val="left" w:pos="1330"/>
        </w:tabs>
        <w:autoSpaceDE w:val="0"/>
        <w:autoSpaceDN w:val="0"/>
        <w:adjustRightInd w:val="0"/>
        <w:ind w:firstLine="567"/>
        <w:jc w:val="both"/>
        <w:rPr>
          <w:szCs w:val="28"/>
        </w:rPr>
      </w:pPr>
      <w:r w:rsidRPr="00FE3AB0">
        <w:rPr>
          <w:szCs w:val="28"/>
        </w:rPr>
        <w:t>Стратегия является главным документом стратегического планирования Новоалександровского городского округа Ставропольского края, которым определены цели, задачи и приоритетные направления социального – экономического развития Новоалександровского городского округа Ставропольского края.</w:t>
      </w:r>
    </w:p>
    <w:p w:rsidR="00FE3AB0" w:rsidRPr="00FE3AB0" w:rsidRDefault="00FE3AB0" w:rsidP="00AA15BB">
      <w:pPr>
        <w:ind w:firstLine="708"/>
        <w:jc w:val="both"/>
      </w:pPr>
      <w:r w:rsidRPr="00FE3AB0">
        <w:rPr>
          <w:rFonts w:eastAsiaTheme="minorHAnsi"/>
          <w:szCs w:val="28"/>
          <w:lang w:eastAsia="en-US"/>
        </w:rPr>
        <w:t>Стратегия основывается</w:t>
      </w:r>
      <w:r w:rsidRPr="00FE3AB0">
        <w:t xml:space="preserve"> на Концепции социально - экономического развития Российской Федерации, Стратегиях социально - экономического развития Северо - Кавказского федерального округа и Ставропольского края, федеральных и краевых отраслевых стратегиях, Посланиях и Майских Указах Президента Российской Федерации, паспортах национальных проектов, которые являются определяющими для ускорения экономического роста и повышения качества жизни и благосостояния граждан.</w:t>
      </w:r>
    </w:p>
    <w:p w:rsidR="00FE3AB0" w:rsidRPr="00FE3AB0" w:rsidRDefault="00FE3AB0" w:rsidP="00AA15BB">
      <w:pPr>
        <w:suppressAutoHyphens w:val="0"/>
        <w:ind w:firstLine="708"/>
        <w:contextualSpacing/>
        <w:jc w:val="both"/>
        <w:rPr>
          <w:szCs w:val="28"/>
          <w:lang w:eastAsia="ru-RU"/>
        </w:rPr>
      </w:pPr>
      <w:r w:rsidRPr="00FE3AB0">
        <w:rPr>
          <w:szCs w:val="28"/>
          <w:lang w:eastAsia="ru-RU"/>
        </w:rPr>
        <w:t>Главная цель – достижение высокого качества жизни населения.</w:t>
      </w:r>
    </w:p>
    <w:p w:rsidR="00FE3AB0" w:rsidRPr="00FE3AB0" w:rsidRDefault="00FE3AB0" w:rsidP="00AA15BB">
      <w:pPr>
        <w:suppressAutoHyphens w:val="0"/>
        <w:ind w:firstLine="708"/>
        <w:contextualSpacing/>
        <w:jc w:val="both"/>
        <w:rPr>
          <w:szCs w:val="28"/>
          <w:lang w:eastAsia="ru-RU"/>
        </w:rPr>
      </w:pPr>
      <w:r w:rsidRPr="00FE3AB0">
        <w:rPr>
          <w:szCs w:val="28"/>
          <w:lang w:eastAsia="ru-RU"/>
        </w:rPr>
        <w:t>Цели:</w:t>
      </w:r>
    </w:p>
    <w:p w:rsidR="00FE3AB0" w:rsidRPr="00FE3AB0" w:rsidRDefault="00FE3AB0" w:rsidP="00AA15BB">
      <w:pPr>
        <w:ind w:firstLine="708"/>
        <w:jc w:val="both"/>
        <w:rPr>
          <w:bCs/>
          <w:szCs w:val="28"/>
        </w:rPr>
      </w:pPr>
      <w:r w:rsidRPr="00FE3AB0">
        <w:rPr>
          <w:rFonts w:eastAsiaTheme="minorEastAsia"/>
          <w:bCs/>
          <w:color w:val="000000" w:themeColor="dark1"/>
          <w:kern w:val="24"/>
          <w:szCs w:val="28"/>
        </w:rPr>
        <w:t>1.</w:t>
      </w:r>
      <w:r w:rsidRPr="00FE3AB0">
        <w:t>Сохранение населения, здоровья и благополучия людей, комфортная и безопасная среда для жизни</w:t>
      </w:r>
      <w:r w:rsidRPr="00FE3AB0">
        <w:rPr>
          <w:rFonts w:eastAsiaTheme="minorEastAsia"/>
          <w:bCs/>
          <w:color w:val="000000" w:themeColor="dark1"/>
          <w:kern w:val="24"/>
          <w:sz w:val="36"/>
          <w:szCs w:val="36"/>
        </w:rPr>
        <w:t>.</w:t>
      </w:r>
    </w:p>
    <w:p w:rsidR="00FE3AB0" w:rsidRPr="00FE3AB0" w:rsidRDefault="00FE3AB0" w:rsidP="00AA15BB">
      <w:pPr>
        <w:ind w:firstLine="708"/>
        <w:jc w:val="both"/>
        <w:rPr>
          <w:bCs/>
          <w:szCs w:val="28"/>
        </w:rPr>
      </w:pPr>
      <w:r w:rsidRPr="00FE3AB0">
        <w:rPr>
          <w:bCs/>
          <w:szCs w:val="28"/>
        </w:rPr>
        <w:t>2.</w:t>
      </w:r>
      <w:r w:rsidRPr="00FE3AB0">
        <w:t>Развитие конкурентоспособной экономики инновационного типа, достойный эффективный труд и успешное предпринимательство</w:t>
      </w:r>
      <w:r w:rsidRPr="00FE3AB0">
        <w:rPr>
          <w:bCs/>
          <w:szCs w:val="28"/>
        </w:rPr>
        <w:t>.</w:t>
      </w:r>
    </w:p>
    <w:p w:rsidR="00FE3AB0" w:rsidRPr="00FE3AB0" w:rsidRDefault="00FE3AB0" w:rsidP="00AA15BB">
      <w:pPr>
        <w:tabs>
          <w:tab w:val="left" w:pos="1330"/>
        </w:tabs>
        <w:autoSpaceDE w:val="0"/>
        <w:autoSpaceDN w:val="0"/>
        <w:adjustRightInd w:val="0"/>
        <w:ind w:firstLine="567"/>
        <w:jc w:val="both"/>
        <w:rPr>
          <w:szCs w:val="28"/>
        </w:rPr>
      </w:pPr>
      <w:r w:rsidRPr="00FE3AB0">
        <w:rPr>
          <w:szCs w:val="28"/>
        </w:rPr>
        <w:lastRenderedPageBreak/>
        <w:t xml:space="preserve">Достижение целей реализации Стратегии непосредственно связано с реализацией Указов Президента Российской Федерации от 7 мая 2012 года № 596 - 602, 606, от 07 мая 2018 № 204 «О национальных целях и стратегических задачах развития Российской Федерации на период до 2024 года», от </w:t>
      </w:r>
      <w:r w:rsidRPr="00FE3AB0">
        <w:t>21 июля 2020 года № 474 «О национальных целях развития Российской Федерации на период до 2035 года».</w:t>
      </w:r>
    </w:p>
    <w:p w:rsidR="00FE3AB0" w:rsidRPr="00FE3AB0" w:rsidRDefault="00FE3AB0" w:rsidP="00AA15BB">
      <w:pPr>
        <w:suppressAutoHyphens w:val="0"/>
        <w:ind w:firstLine="567"/>
        <w:jc w:val="both"/>
        <w:rPr>
          <w:rFonts w:eastAsia="Calibri"/>
          <w:szCs w:val="28"/>
          <w:lang w:eastAsia="en-US"/>
        </w:rPr>
      </w:pPr>
      <w:r w:rsidRPr="00FE3AB0">
        <w:rPr>
          <w:rFonts w:eastAsia="Calibri"/>
          <w:szCs w:val="28"/>
          <w:lang w:eastAsia="en-US"/>
        </w:rPr>
        <w:t>Достижение стратегических целей и решение стратегических задач, определенных Стратегией, осуществлялось в 2023 году через реализацию 17 муниципальных программ, значимых инвестиционных проектов регионального и муниципального уровня, участие муниципального округа в национальных, федеральных проектах и государственных программах.</w:t>
      </w:r>
    </w:p>
    <w:p w:rsidR="00FE3AB0" w:rsidRPr="00FE3AB0" w:rsidRDefault="00FE3AB0" w:rsidP="00AA15BB">
      <w:pPr>
        <w:widowControl w:val="0"/>
        <w:ind w:firstLine="567"/>
        <w:jc w:val="both"/>
        <w:rPr>
          <w:rFonts w:eastAsia="Arial Unicode MS"/>
          <w:i/>
          <w:kern w:val="1"/>
          <w:lang w:eastAsia="hi-IN" w:bidi="hi-IN"/>
        </w:rPr>
      </w:pPr>
      <w:r w:rsidRPr="00FE3AB0">
        <w:rPr>
          <w:rFonts w:eastAsia="Arial Unicode MS"/>
          <w:kern w:val="2"/>
          <w:lang w:eastAsia="hi-IN" w:bidi="hi-IN"/>
        </w:rPr>
        <w:t>В 2023 году Новоалександровский муниципальный округ участвовал в софинансировании мероприятий государственной программы Российской Федерации «Социальная поддержка граждан».</w:t>
      </w:r>
    </w:p>
    <w:p w:rsidR="00FE3AB0" w:rsidRPr="00FE3AB0" w:rsidRDefault="00FE3AB0" w:rsidP="00AA15BB">
      <w:pPr>
        <w:ind w:firstLine="567"/>
      </w:pPr>
      <w:r w:rsidRPr="00FE3AB0">
        <w:t>На финансирование мероприятий в 2023 году предусмотрены средства в сумме 51861,58 тыс. рублей, кассовое исполнение составило 51827,49 тыс. рублей (99,93 %).</w:t>
      </w:r>
    </w:p>
    <w:p w:rsidR="00FE3AB0" w:rsidRPr="00FE3AB0" w:rsidRDefault="00FE3AB0" w:rsidP="00AA15BB">
      <w:pPr>
        <w:widowControl w:val="0"/>
        <w:tabs>
          <w:tab w:val="left" w:pos="0"/>
        </w:tabs>
        <w:ind w:firstLine="567"/>
        <w:jc w:val="both"/>
        <w:rPr>
          <w:rFonts w:eastAsia="Arial Unicode MS"/>
          <w:kern w:val="2"/>
          <w:lang w:eastAsia="hi-IN" w:bidi="hi-IN"/>
        </w:rPr>
      </w:pPr>
      <w:r w:rsidRPr="00FE3AB0">
        <w:rPr>
          <w:rFonts w:eastAsia="Arial Unicode MS"/>
          <w:kern w:val="2"/>
          <w:lang w:eastAsia="hi-IN" w:bidi="hi-IN"/>
        </w:rPr>
        <w:t>В государственных программах Ставропольского края</w:t>
      </w:r>
      <w:r w:rsidRPr="00FE3AB0">
        <w:rPr>
          <w:rFonts w:eastAsia="Arial Unicode MS"/>
          <w:kern w:val="2"/>
          <w:lang w:val="x-none" w:eastAsia="hi-IN" w:bidi="hi-IN"/>
        </w:rPr>
        <w:t>:</w:t>
      </w:r>
      <w:r w:rsidRPr="00FE3AB0">
        <w:rPr>
          <w:rFonts w:eastAsia="Arial Unicode MS"/>
          <w:kern w:val="2"/>
          <w:lang w:eastAsia="hi-IN" w:bidi="hi-IN"/>
        </w:rPr>
        <w:t xml:space="preserve"> «Управление финансами»;</w:t>
      </w:r>
      <w:r w:rsidRPr="00FE3AB0">
        <w:rPr>
          <w:rFonts w:eastAsia="Arial Unicode MS"/>
          <w:kern w:val="2"/>
          <w:lang w:val="x-none" w:eastAsia="hi-IN" w:bidi="hi-IN"/>
        </w:rPr>
        <w:t xml:space="preserve"> «Сохранение и развитие культуры</w:t>
      </w:r>
      <w:r w:rsidRPr="00FE3AB0">
        <w:rPr>
          <w:rFonts w:eastAsia="Arial Unicode MS"/>
          <w:kern w:val="2"/>
          <w:lang w:eastAsia="hi-IN" w:bidi="hi-IN"/>
        </w:rPr>
        <w:t>»</w:t>
      </w:r>
      <w:r w:rsidRPr="00FE3AB0">
        <w:rPr>
          <w:rFonts w:eastAsia="Arial Unicode MS"/>
          <w:kern w:val="2"/>
          <w:lang w:val="x-none" w:eastAsia="hi-IN" w:bidi="hi-IN"/>
        </w:rPr>
        <w:t>;</w:t>
      </w:r>
      <w:r w:rsidRPr="00FE3AB0">
        <w:rPr>
          <w:rFonts w:eastAsia="Arial Unicode MS"/>
          <w:kern w:val="2"/>
          <w:lang w:eastAsia="hi-IN" w:bidi="hi-IN"/>
        </w:rPr>
        <w:t xml:space="preserve"> «Развитие физической культуры и спорта»;</w:t>
      </w:r>
      <w:r w:rsidRPr="00FE3AB0">
        <w:rPr>
          <w:rFonts w:eastAsia="Arial Unicode MS"/>
          <w:kern w:val="2"/>
          <w:lang w:val="x-none" w:eastAsia="hi-IN" w:bidi="hi-IN"/>
        </w:rPr>
        <w:t xml:space="preserve"> «Развитие образования»;</w:t>
      </w:r>
      <w:r w:rsidRPr="00FE3AB0">
        <w:rPr>
          <w:rFonts w:eastAsia="Arial Unicode MS"/>
          <w:kern w:val="2"/>
          <w:lang w:eastAsia="hi-IN" w:bidi="hi-IN"/>
        </w:rPr>
        <w:t xml:space="preserve"> «Развитие жилищно - коммунального хозяйства, защита население и территории от чрезвычайных ситуаций»;</w:t>
      </w:r>
      <w:r w:rsidRPr="00FE3AB0">
        <w:rPr>
          <w:rFonts w:eastAsia="Arial Unicode MS"/>
          <w:kern w:val="2"/>
          <w:lang w:val="x-none" w:eastAsia="hi-IN" w:bidi="hi-IN"/>
        </w:rPr>
        <w:t xml:space="preserve"> «Развитие транспортной системы»; «Развитие сельского хозяйства»; «</w:t>
      </w:r>
      <w:r w:rsidRPr="00FE3AB0">
        <w:rPr>
          <w:rFonts w:eastAsia="Arial Unicode MS"/>
          <w:kern w:val="2"/>
          <w:lang w:eastAsia="hi-IN" w:bidi="hi-IN"/>
        </w:rPr>
        <w:t>Управление имуществом</w:t>
      </w:r>
      <w:r w:rsidRPr="00FE3AB0">
        <w:rPr>
          <w:rFonts w:eastAsia="Arial Unicode MS"/>
          <w:kern w:val="2"/>
          <w:lang w:val="x-none" w:eastAsia="hi-IN" w:bidi="hi-IN"/>
        </w:rPr>
        <w:t>»; «Социальная поддержка граждан»</w:t>
      </w:r>
      <w:r w:rsidRPr="00FE3AB0">
        <w:rPr>
          <w:rFonts w:eastAsia="Arial Unicode MS"/>
          <w:kern w:val="2"/>
          <w:lang w:eastAsia="hi-IN" w:bidi="hi-IN"/>
        </w:rPr>
        <w:t>; «Межнациональные отношения, профилактика терроризма и поддержка казачества».</w:t>
      </w:r>
    </w:p>
    <w:p w:rsidR="00FE3AB0" w:rsidRPr="00FE3AB0" w:rsidRDefault="00FE3AB0" w:rsidP="00AA15BB">
      <w:pPr>
        <w:ind w:firstLine="567"/>
        <w:jc w:val="both"/>
      </w:pPr>
      <w:r w:rsidRPr="00FE3AB0">
        <w:t>На финансирование мероприятий в 2023 году предусмотрены средства в сумме 1604321,31 тыс. рублей, кассовое исполнение составило 1532140,63 тыс. рублей (95,5 %).</w:t>
      </w:r>
    </w:p>
    <w:p w:rsidR="00FE3AB0" w:rsidRPr="00FE3AB0" w:rsidRDefault="00FE3AB0" w:rsidP="00AA15BB">
      <w:pPr>
        <w:ind w:firstLine="567"/>
        <w:jc w:val="both"/>
        <w:textAlignment w:val="baseline"/>
        <w:rPr>
          <w:szCs w:val="28"/>
        </w:rPr>
      </w:pPr>
      <w:r w:rsidRPr="00FE3AB0">
        <w:rPr>
          <w:szCs w:val="28"/>
        </w:rPr>
        <w:t>В 2023 году по Губернаторской программе поддержки местных инициатив на территории Новоалександровского муниципального округа реализовано 10 проектов, в том числе:</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«Устройство пешеходной зоны по улице Расшеватской (в месте пересечения с улицей Жукова) в городе Новоалександровск», стоимостью 621902,40 рублей;</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Устройство остановочных павильонов по улице Гагарина (остановка «Торговый центр «Ленинский») в городе Новоалександровск», стоимостью 873904,80 рублей;</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Ремонт участка автомобильной дороги общего пользования местного значения по улице Комсомольская (от дома № 58 до дома № 68) в поселке Горьковский», стоимостью 1296779,54 рублей;</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«Ремонт автомобильной дороги общего пользования местного значения по ул. Д. Бедного (от ул. Калинина до ул. Первомайской) в станице Григорополисская», стоимостью 2608661,80 рублей;</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xml:space="preserve">- «Ремонт участка автомобильной дороги общего пользования местного значения по улице 60 Лет Октября (от пересечения с улицей Советской до </w:t>
      </w:r>
      <w:r w:rsidRPr="00FE3AB0">
        <w:rPr>
          <w:szCs w:val="28"/>
          <w:lang w:eastAsia="ru-RU"/>
        </w:rPr>
        <w:lastRenderedPageBreak/>
        <w:t>пересечения с улицей Кубанской) в хуторе Красночервонный», стоимостью 2053664,41 рублей;</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«Ремонт автомобильной дороги по переулку Садовый, переулку Южный, переулку Новый поселка Радуга», стоимостью 1433 23,20 рублей;</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«Ремонт асфальтовой дорожки по улице Жевтобрюхова с № 1 до № 161 в станице Расшеватской», стоимостью 2787218,32 рублей;</w:t>
      </w:r>
    </w:p>
    <w:p w:rsidR="00FE3AB0" w:rsidRPr="00FE3AB0" w:rsidRDefault="00FE3AB0" w:rsidP="00AA15BB">
      <w:pPr>
        <w:suppressAutoHyphens w:val="0"/>
        <w:ind w:firstLine="567"/>
        <w:contextualSpacing/>
        <w:jc w:val="both"/>
        <w:textAlignment w:val="baseline"/>
        <w:rPr>
          <w:szCs w:val="28"/>
          <w:lang w:eastAsia="ru-RU"/>
        </w:rPr>
      </w:pPr>
      <w:r w:rsidRPr="00FE3AB0">
        <w:rPr>
          <w:szCs w:val="28"/>
          <w:lang w:eastAsia="ru-RU"/>
        </w:rPr>
        <w:t>- «Устройство тротуарной дорожки по ул. Комсомольской от № 64 до № 230 в поселке Темижбекский», стоимостью 1979688,96 рублей;</w:t>
      </w:r>
    </w:p>
    <w:p w:rsidR="00FE3AB0" w:rsidRPr="00FE3AB0" w:rsidRDefault="00FE3AB0" w:rsidP="00AA15BB">
      <w:pPr>
        <w:ind w:firstLine="567"/>
        <w:jc w:val="both"/>
        <w:rPr>
          <w:color w:val="000000"/>
          <w:szCs w:val="28"/>
        </w:rPr>
      </w:pPr>
      <w:r w:rsidRPr="00FE3AB0">
        <w:rPr>
          <w:color w:val="000000"/>
          <w:szCs w:val="28"/>
        </w:rPr>
        <w:t xml:space="preserve">- «Благоустройство парковой зоны, прилегающей к улице Красной с № 78 по № 80, улицы Школьной № 1 в станице </w:t>
      </w:r>
      <w:r w:rsidRPr="00FE3AB0">
        <w:rPr>
          <w:bCs/>
          <w:color w:val="000000"/>
          <w:szCs w:val="28"/>
        </w:rPr>
        <w:t>Кармалиновская</w:t>
      </w:r>
      <w:r w:rsidRPr="00FE3AB0">
        <w:rPr>
          <w:color w:val="000000"/>
          <w:szCs w:val="28"/>
        </w:rPr>
        <w:t>», стоимостью 2116414,66 рублей;</w:t>
      </w:r>
    </w:p>
    <w:p w:rsidR="00FE3AB0" w:rsidRPr="00FE3AB0" w:rsidRDefault="00FE3AB0" w:rsidP="00AA15BB">
      <w:pPr>
        <w:ind w:firstLine="567"/>
        <w:jc w:val="both"/>
        <w:rPr>
          <w:szCs w:val="28"/>
        </w:rPr>
      </w:pPr>
      <w:r w:rsidRPr="00FE3AB0">
        <w:rPr>
          <w:szCs w:val="28"/>
        </w:rPr>
        <w:t>- «Озеленение и благоустройство парковой зоны по улице Ленина села Раздольное», стоимостью 1057327,29 рублей.</w:t>
      </w:r>
    </w:p>
    <w:p w:rsidR="00FE3AB0" w:rsidRPr="00FE3AB0" w:rsidRDefault="00FE3AB0" w:rsidP="00AA15BB">
      <w:pPr>
        <w:ind w:firstLine="567"/>
        <w:jc w:val="both"/>
        <w:textAlignment w:val="baseline"/>
        <w:rPr>
          <w:szCs w:val="28"/>
        </w:rPr>
      </w:pPr>
      <w:r w:rsidRPr="00FE3AB0">
        <w:rPr>
          <w:szCs w:val="28"/>
        </w:rPr>
        <w:t>Кроме того, в 2023 году на территории Новоалександровского муниципального округа реализовано 7 инициативных проектов за счет собственных средств и внебюджетных источников в сумме 13670313,43 рублей, в том числе:</w:t>
      </w:r>
    </w:p>
    <w:p w:rsidR="00FE3AB0" w:rsidRPr="00FE3AB0" w:rsidRDefault="00FE3AB0" w:rsidP="00AA15BB">
      <w:pPr>
        <w:ind w:firstLine="567"/>
        <w:jc w:val="both"/>
        <w:textAlignment w:val="baseline"/>
        <w:rPr>
          <w:szCs w:val="28"/>
        </w:rPr>
      </w:pPr>
      <w:r w:rsidRPr="00FE3AB0">
        <w:rPr>
          <w:szCs w:val="28"/>
        </w:rPr>
        <w:t>- «Реализация инициативного проекта (Ремонт участков автомобильных дорог общего пользования местного значения по улице Школьная, улице Северная в поселке Рассвет Новоалександровского муниципального округа Ставропольского края)»;</w:t>
      </w:r>
    </w:p>
    <w:p w:rsidR="00FE3AB0" w:rsidRPr="00FE3AB0" w:rsidRDefault="00FE3AB0" w:rsidP="00AA15BB">
      <w:pPr>
        <w:ind w:firstLine="567"/>
        <w:jc w:val="both"/>
        <w:textAlignment w:val="baseline"/>
        <w:rPr>
          <w:szCs w:val="28"/>
        </w:rPr>
      </w:pPr>
      <w:r w:rsidRPr="00FE3AB0">
        <w:rPr>
          <w:szCs w:val="28"/>
        </w:rPr>
        <w:t>- «Реализация инициативного проекта (Укомплектование детской площадки и парковой зоны игровыми элементами и малыми архитектурными формами по улице Ветеранов в поселке Краснозоринский Новоалександровского муниципального округа Ставропольского края)»;</w:t>
      </w:r>
    </w:p>
    <w:p w:rsidR="00FE3AB0" w:rsidRPr="00FE3AB0" w:rsidRDefault="00FE3AB0" w:rsidP="00AA15BB">
      <w:pPr>
        <w:ind w:firstLine="567"/>
        <w:jc w:val="both"/>
        <w:textAlignment w:val="baseline"/>
        <w:rPr>
          <w:szCs w:val="28"/>
        </w:rPr>
      </w:pPr>
      <w:r w:rsidRPr="00FE3AB0">
        <w:rPr>
          <w:szCs w:val="28"/>
        </w:rPr>
        <w:t>- «Реализация инициативного проекта (Устройство детского спортивно-игрового комплекса в парковой зоне по улице Степная в поселке Присадовый Новоалександровского муниципального округа Ставропольского края)»;</w:t>
      </w:r>
    </w:p>
    <w:p w:rsidR="00FE3AB0" w:rsidRPr="00FE3AB0" w:rsidRDefault="00FE3AB0" w:rsidP="00AA15BB">
      <w:pPr>
        <w:ind w:firstLine="567"/>
        <w:jc w:val="both"/>
        <w:textAlignment w:val="baseline"/>
        <w:rPr>
          <w:szCs w:val="28"/>
        </w:rPr>
      </w:pPr>
      <w:r w:rsidRPr="00FE3AB0">
        <w:rPr>
          <w:szCs w:val="28"/>
        </w:rPr>
        <w:t>- «Реализация инициативного проекта (Устройство детской игровой площадки по улице Заречной в поселке Виноградный Новоалександровского муниципального округа Ставропольского края)»;</w:t>
      </w:r>
    </w:p>
    <w:p w:rsidR="00FE3AB0" w:rsidRPr="00FE3AB0" w:rsidRDefault="00FE3AB0" w:rsidP="00AA15BB">
      <w:pPr>
        <w:ind w:firstLine="567"/>
        <w:jc w:val="both"/>
        <w:textAlignment w:val="baseline"/>
        <w:rPr>
          <w:szCs w:val="28"/>
        </w:rPr>
      </w:pPr>
      <w:r w:rsidRPr="00FE3AB0">
        <w:rPr>
          <w:szCs w:val="28"/>
        </w:rPr>
        <w:t>- «Реализация инициативного проекта (Монтаж уличного освещения по переулку Космонавтов, переулку Социалистический, улице Кирова, улице Школьная в селе Раздольное Новоалександровского муниципального округа Ставропольского края)»;</w:t>
      </w:r>
    </w:p>
    <w:p w:rsidR="00FE3AB0" w:rsidRPr="00FE3AB0" w:rsidRDefault="00FE3AB0" w:rsidP="00AA15BB">
      <w:pPr>
        <w:ind w:firstLine="567"/>
        <w:jc w:val="both"/>
        <w:textAlignment w:val="baseline"/>
        <w:rPr>
          <w:szCs w:val="28"/>
        </w:rPr>
      </w:pPr>
      <w:r w:rsidRPr="00FE3AB0">
        <w:rPr>
          <w:szCs w:val="28"/>
        </w:rPr>
        <w:t>- «Реализация инициативного проекта (Ремонт асфальтовой дорожки по улице Калинина в станице Расшеватской Новоалександровского муниципального округа Ставропольского края)»;</w:t>
      </w:r>
    </w:p>
    <w:p w:rsidR="00FE3AB0" w:rsidRPr="00FE3AB0" w:rsidRDefault="00FE3AB0" w:rsidP="00AA15BB">
      <w:pPr>
        <w:ind w:firstLine="567"/>
        <w:jc w:val="both"/>
        <w:textAlignment w:val="baseline"/>
        <w:rPr>
          <w:szCs w:val="28"/>
        </w:rPr>
      </w:pPr>
      <w:r w:rsidRPr="00FE3AB0">
        <w:rPr>
          <w:szCs w:val="28"/>
        </w:rPr>
        <w:t>- «Реализация инициативного проекта (Обустройство спортивной игровой площадки по улице Мира в поселке Крутобалковский Новоалександровского муниципального округа Ставропольского края)».</w:t>
      </w:r>
    </w:p>
    <w:p w:rsidR="00FE3AB0" w:rsidRPr="00FE3AB0" w:rsidRDefault="00FE3AB0" w:rsidP="00AA15BB">
      <w:pPr>
        <w:widowControl w:val="0"/>
        <w:ind w:firstLine="708"/>
        <w:jc w:val="both"/>
        <w:rPr>
          <w:szCs w:val="28"/>
        </w:rPr>
      </w:pPr>
      <w:r w:rsidRPr="00FE3AB0">
        <w:rPr>
          <w:szCs w:val="28"/>
        </w:rPr>
        <w:t>Выполнение целевых индикаторов, определенных документами стратегического планирования, обеспечивалось реализацией 17 муниципальных программ:</w:t>
      </w:r>
    </w:p>
    <w:p w:rsidR="00FE3AB0" w:rsidRPr="00FE3AB0" w:rsidRDefault="00FE3AB0" w:rsidP="00AA15BB">
      <w:pPr>
        <w:suppressAutoHyphens w:val="0"/>
        <w:ind w:firstLine="567"/>
        <w:jc w:val="both"/>
        <w:rPr>
          <w:rFonts w:eastAsia="Calibri"/>
          <w:szCs w:val="28"/>
          <w:lang w:eastAsia="en-US"/>
        </w:rPr>
      </w:pPr>
      <w:r w:rsidRPr="00FE3AB0">
        <w:rPr>
          <w:rFonts w:eastAsia="Calibri"/>
          <w:szCs w:val="28"/>
          <w:lang w:eastAsia="en-US"/>
        </w:rPr>
        <w:lastRenderedPageBreak/>
        <w:t>1. «</w:t>
      </w:r>
      <w:r w:rsidRPr="00FE3AB0">
        <w:rPr>
          <w:rFonts w:eastAsia="Calibri"/>
          <w:color w:val="000000"/>
          <w:szCs w:val="28"/>
          <w:lang w:eastAsia="en-US"/>
        </w:rPr>
        <w:t>Управление финансами Новоалександровского городского округа Ставропольского края».</w:t>
      </w:r>
    </w:p>
    <w:p w:rsidR="00FE3AB0" w:rsidRPr="00FE3AB0" w:rsidRDefault="00FE3AB0" w:rsidP="00AA15BB">
      <w:pPr>
        <w:ind w:firstLine="567"/>
        <w:jc w:val="both"/>
        <w:rPr>
          <w:color w:val="000000"/>
          <w:szCs w:val="28"/>
        </w:rPr>
      </w:pPr>
      <w:r w:rsidRPr="00FE3AB0">
        <w:rPr>
          <w:szCs w:val="28"/>
        </w:rPr>
        <w:t>2. «</w:t>
      </w:r>
      <w:r w:rsidRPr="00FE3AB0">
        <w:rPr>
          <w:color w:val="000000"/>
          <w:szCs w:val="28"/>
        </w:rPr>
        <w:t>Развитие малого и среднего предпринимательства, потребительского рынка и инвестиционной деятельности на территории Новоалександровского городского округа Ставропольского края».</w:t>
      </w:r>
    </w:p>
    <w:p w:rsidR="00FE3AB0" w:rsidRPr="00FE3AB0" w:rsidRDefault="00FE3AB0" w:rsidP="00AA15BB">
      <w:pPr>
        <w:ind w:firstLine="567"/>
        <w:jc w:val="both"/>
        <w:rPr>
          <w:szCs w:val="28"/>
        </w:rPr>
      </w:pPr>
      <w:r w:rsidRPr="00FE3AB0">
        <w:rPr>
          <w:szCs w:val="28"/>
        </w:rPr>
        <w:t>3. «</w:t>
      </w:r>
      <w:r w:rsidRPr="00FE3AB0">
        <w:rPr>
          <w:color w:val="000000"/>
          <w:szCs w:val="28"/>
        </w:rPr>
        <w:t>Развитие культуры Новоалександровского городского округа Ставропольского края».</w:t>
      </w:r>
    </w:p>
    <w:p w:rsidR="00FE3AB0" w:rsidRPr="00FE3AB0" w:rsidRDefault="00FE3AB0" w:rsidP="00AA15BB">
      <w:pPr>
        <w:ind w:firstLine="567"/>
        <w:jc w:val="both"/>
        <w:rPr>
          <w:szCs w:val="28"/>
        </w:rPr>
      </w:pPr>
      <w:r w:rsidRPr="00FE3AB0">
        <w:rPr>
          <w:szCs w:val="28"/>
        </w:rPr>
        <w:t>4. «</w:t>
      </w:r>
      <w:r w:rsidRPr="00FE3AB0">
        <w:rPr>
          <w:color w:val="000000"/>
          <w:szCs w:val="28"/>
        </w:rPr>
        <w:t>Реализация молодёжной политики на территории Новоалександровского городского округа Ставропольского края».</w:t>
      </w:r>
    </w:p>
    <w:p w:rsidR="00FE3AB0" w:rsidRPr="00FE3AB0" w:rsidRDefault="00FE3AB0" w:rsidP="00AA15BB">
      <w:pPr>
        <w:ind w:firstLine="567"/>
        <w:jc w:val="both"/>
        <w:rPr>
          <w:szCs w:val="28"/>
        </w:rPr>
      </w:pPr>
      <w:r w:rsidRPr="00FE3AB0">
        <w:rPr>
          <w:szCs w:val="28"/>
        </w:rPr>
        <w:t>5. «</w:t>
      </w:r>
      <w:r w:rsidRPr="00FE3AB0">
        <w:rPr>
          <w:color w:val="000000"/>
          <w:szCs w:val="28"/>
        </w:rPr>
        <w:t>Повышение роли физической культуры и спорта в Новоалександровском городском округе Ставропольского края».</w:t>
      </w:r>
    </w:p>
    <w:p w:rsidR="00FE3AB0" w:rsidRPr="00FE3AB0" w:rsidRDefault="00FE3AB0" w:rsidP="00AA15BB">
      <w:pPr>
        <w:ind w:firstLine="567"/>
        <w:jc w:val="both"/>
        <w:rPr>
          <w:szCs w:val="28"/>
        </w:rPr>
      </w:pPr>
      <w:r w:rsidRPr="00FE3AB0">
        <w:rPr>
          <w:szCs w:val="28"/>
        </w:rPr>
        <w:t>6. «</w:t>
      </w:r>
      <w:r w:rsidRPr="00FE3AB0">
        <w:rPr>
          <w:color w:val="000000"/>
          <w:szCs w:val="28"/>
        </w:rPr>
        <w:t>Развитие системы образования Новоалександровского городского округа Ставропольского края».</w:t>
      </w:r>
    </w:p>
    <w:p w:rsidR="00FE3AB0" w:rsidRPr="00FE3AB0" w:rsidRDefault="00FE3AB0" w:rsidP="00AA15BB">
      <w:pPr>
        <w:ind w:firstLine="567"/>
        <w:jc w:val="both"/>
        <w:rPr>
          <w:szCs w:val="28"/>
        </w:rPr>
      </w:pPr>
      <w:r w:rsidRPr="00FE3AB0">
        <w:rPr>
          <w:szCs w:val="28"/>
        </w:rPr>
        <w:t>7. «</w:t>
      </w:r>
      <w:r w:rsidRPr="00FE3AB0">
        <w:rPr>
          <w:color w:val="000000"/>
          <w:szCs w:val="28"/>
        </w:rPr>
        <w:t>Развитие систем коммунальной инфраструктуры, защита населения и территории от чрезвычайных ситуаций в Новоалександровском городском округе Ставропольского края».</w:t>
      </w:r>
    </w:p>
    <w:p w:rsidR="00FE3AB0" w:rsidRPr="00FE3AB0" w:rsidRDefault="00FE3AB0" w:rsidP="00AA15BB">
      <w:pPr>
        <w:ind w:firstLine="567"/>
        <w:jc w:val="both"/>
        <w:rPr>
          <w:szCs w:val="28"/>
        </w:rPr>
      </w:pPr>
      <w:r w:rsidRPr="00FE3AB0">
        <w:rPr>
          <w:szCs w:val="28"/>
        </w:rPr>
        <w:t>8. «</w:t>
      </w:r>
      <w:r w:rsidRPr="00FE3AB0">
        <w:rPr>
          <w:color w:val="000000"/>
          <w:szCs w:val="28"/>
        </w:rPr>
        <w:t>Развитие дорожной сети, обеспечение безопасности дорожного движения и транспортное обслуживание населения в Новоалександровском городском округе Ставропольского края».</w:t>
      </w:r>
    </w:p>
    <w:p w:rsidR="00FE3AB0" w:rsidRPr="00FE3AB0" w:rsidRDefault="00FE3AB0" w:rsidP="00AA15BB">
      <w:pPr>
        <w:ind w:firstLine="567"/>
        <w:jc w:val="both"/>
        <w:rPr>
          <w:szCs w:val="28"/>
        </w:rPr>
      </w:pPr>
      <w:r w:rsidRPr="00FE3AB0">
        <w:rPr>
          <w:szCs w:val="28"/>
        </w:rPr>
        <w:t>9. «</w:t>
      </w:r>
      <w:r w:rsidRPr="00FE3AB0">
        <w:rPr>
          <w:color w:val="000000"/>
          <w:szCs w:val="28"/>
        </w:rPr>
        <w:t>Развитие сельского хозяйства в Новоалександровском городском округе Ставропольского края».</w:t>
      </w:r>
    </w:p>
    <w:p w:rsidR="00FE3AB0" w:rsidRPr="00FE3AB0" w:rsidRDefault="00FE3AB0" w:rsidP="00AA15BB">
      <w:pPr>
        <w:ind w:firstLine="567"/>
        <w:jc w:val="both"/>
        <w:rPr>
          <w:color w:val="000000"/>
          <w:szCs w:val="28"/>
        </w:rPr>
      </w:pPr>
      <w:r w:rsidRPr="00FE3AB0">
        <w:rPr>
          <w:szCs w:val="28"/>
        </w:rPr>
        <w:t>10. «</w:t>
      </w:r>
      <w:r w:rsidRPr="00FE3AB0">
        <w:rPr>
          <w:color w:val="000000"/>
          <w:szCs w:val="28"/>
        </w:rPr>
        <w:t>Управление муниципальным имуществом Новоалександровского городского округа Ставропольского края».</w:t>
      </w:r>
    </w:p>
    <w:p w:rsidR="00FE3AB0" w:rsidRPr="00FE3AB0" w:rsidRDefault="00FE3AB0" w:rsidP="00AA15BB">
      <w:pPr>
        <w:ind w:firstLine="567"/>
        <w:jc w:val="both"/>
        <w:rPr>
          <w:szCs w:val="28"/>
        </w:rPr>
      </w:pPr>
      <w:r w:rsidRPr="00FE3AB0">
        <w:rPr>
          <w:szCs w:val="28"/>
        </w:rPr>
        <w:t>11. «</w:t>
      </w:r>
      <w:r w:rsidRPr="00FE3AB0">
        <w:rPr>
          <w:color w:val="000000"/>
          <w:szCs w:val="28"/>
        </w:rPr>
        <w:t>Социальная поддержка граждан в Новоалександровском городском округе Ставропольского края».</w:t>
      </w:r>
    </w:p>
    <w:p w:rsidR="00FE3AB0" w:rsidRPr="00FE3AB0" w:rsidRDefault="00FE3AB0" w:rsidP="00AA15BB">
      <w:pPr>
        <w:ind w:firstLine="567"/>
        <w:jc w:val="both"/>
        <w:rPr>
          <w:szCs w:val="28"/>
        </w:rPr>
      </w:pPr>
      <w:r w:rsidRPr="00FE3AB0">
        <w:rPr>
          <w:szCs w:val="28"/>
        </w:rPr>
        <w:t>12. «</w:t>
      </w:r>
      <w:r w:rsidRPr="00FE3AB0">
        <w:rPr>
          <w:color w:val="000000"/>
          <w:szCs w:val="28"/>
        </w:rPr>
        <w:t>Профилактика правонарушений, обеспечение общественного порядка,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городского округа Ставропольского края».</w:t>
      </w:r>
    </w:p>
    <w:p w:rsidR="00FE3AB0" w:rsidRPr="00FE3AB0" w:rsidRDefault="00FE3AB0" w:rsidP="00AA15BB">
      <w:pPr>
        <w:ind w:firstLine="567"/>
        <w:jc w:val="both"/>
        <w:rPr>
          <w:szCs w:val="28"/>
        </w:rPr>
      </w:pPr>
      <w:r w:rsidRPr="00FE3AB0">
        <w:rPr>
          <w:szCs w:val="28"/>
        </w:rPr>
        <w:t>13. «</w:t>
      </w:r>
      <w:r w:rsidRPr="00FE3AB0">
        <w:rPr>
          <w:color w:val="000000"/>
          <w:szCs w:val="28"/>
        </w:rPr>
        <w:t>Благоустройство населенных пунктов Новоалександровского района и улучшение условий проживания населения».</w:t>
      </w:r>
    </w:p>
    <w:p w:rsidR="00FE3AB0" w:rsidRPr="00FE3AB0" w:rsidRDefault="00FE3AB0" w:rsidP="00AA15BB">
      <w:pPr>
        <w:ind w:firstLine="567"/>
        <w:jc w:val="both"/>
        <w:rPr>
          <w:szCs w:val="28"/>
        </w:rPr>
      </w:pPr>
      <w:r w:rsidRPr="00FE3AB0">
        <w:rPr>
          <w:szCs w:val="28"/>
        </w:rPr>
        <w:t>14. «</w:t>
      </w:r>
      <w:r w:rsidRPr="00FE3AB0">
        <w:rPr>
          <w:color w:val="000000"/>
          <w:szCs w:val="28"/>
        </w:rPr>
        <w:t>Формирование современной городской среды на территории Новоалександровского городского округа».</w:t>
      </w:r>
    </w:p>
    <w:p w:rsidR="00FE3AB0" w:rsidRPr="00FE3AB0" w:rsidRDefault="00FE3AB0" w:rsidP="00AA15BB">
      <w:pPr>
        <w:ind w:firstLine="567"/>
        <w:jc w:val="both"/>
        <w:rPr>
          <w:szCs w:val="28"/>
        </w:rPr>
      </w:pPr>
      <w:r w:rsidRPr="00FE3AB0">
        <w:rPr>
          <w:szCs w:val="28"/>
        </w:rPr>
        <w:t>15. «</w:t>
      </w:r>
      <w:r w:rsidRPr="00FE3AB0">
        <w:rPr>
          <w:color w:val="000000"/>
          <w:szCs w:val="28"/>
        </w:rPr>
        <w:t>Развитие муниципальной службы в Новоалександровском городском округе Ставропольского края».</w:t>
      </w:r>
    </w:p>
    <w:p w:rsidR="00FE3AB0" w:rsidRPr="00FE3AB0" w:rsidRDefault="00FE3AB0" w:rsidP="00AA15BB">
      <w:pPr>
        <w:ind w:firstLine="567"/>
        <w:jc w:val="both"/>
        <w:rPr>
          <w:color w:val="000000"/>
          <w:szCs w:val="28"/>
        </w:rPr>
      </w:pPr>
      <w:r w:rsidRPr="00FE3AB0">
        <w:rPr>
          <w:szCs w:val="28"/>
        </w:rPr>
        <w:t>16. «</w:t>
      </w:r>
      <w:r w:rsidRPr="00FE3AB0">
        <w:rPr>
          <w:color w:val="000000"/>
          <w:szCs w:val="28"/>
        </w:rPr>
        <w:t>Противодействие коррупции в Новоалександровском городском округе Ставропольского края».</w:t>
      </w:r>
    </w:p>
    <w:p w:rsidR="00FE3AB0" w:rsidRPr="00FE3AB0" w:rsidRDefault="00FE3AB0" w:rsidP="00AA15BB">
      <w:pPr>
        <w:ind w:firstLine="567"/>
        <w:jc w:val="both"/>
        <w:rPr>
          <w:color w:val="000000"/>
          <w:szCs w:val="28"/>
        </w:rPr>
      </w:pPr>
      <w:r w:rsidRPr="00FE3AB0">
        <w:rPr>
          <w:color w:val="000000"/>
          <w:szCs w:val="28"/>
        </w:rPr>
        <w:t>17. «Охрана окружающей среды».</w:t>
      </w:r>
    </w:p>
    <w:p w:rsidR="00FE3AB0" w:rsidRPr="00FE3AB0" w:rsidRDefault="00FE3AB0" w:rsidP="00AA15BB">
      <w:pPr>
        <w:ind w:firstLine="567"/>
        <w:jc w:val="both"/>
        <w:rPr>
          <w:szCs w:val="28"/>
        </w:rPr>
      </w:pPr>
      <w:r w:rsidRPr="00FE3AB0">
        <w:rPr>
          <w:szCs w:val="28"/>
        </w:rPr>
        <w:t>В рамках реализации муниципальных программ осуществлялось финансовое обеспечение расходов, связанных с содержанием подведомственных организаций в области образования, культуры, физической культуры и спорта и предоставлением мер социальной поддержки отдельным категориям граждан.</w:t>
      </w:r>
    </w:p>
    <w:p w:rsidR="00FE3AB0" w:rsidRPr="00FE3AB0" w:rsidRDefault="00FE3AB0" w:rsidP="00AA15BB">
      <w:pPr>
        <w:widowControl w:val="0"/>
        <w:ind w:firstLine="567"/>
        <w:jc w:val="both"/>
        <w:rPr>
          <w:rFonts w:eastAsia="Arial Unicode MS"/>
          <w:kern w:val="2"/>
          <w:lang w:eastAsia="hi-IN" w:bidi="hi-IN"/>
        </w:rPr>
      </w:pPr>
      <w:r w:rsidRPr="00FE3AB0">
        <w:rPr>
          <w:rFonts w:eastAsia="Arial Unicode MS"/>
          <w:kern w:val="2"/>
          <w:lang w:eastAsia="hi-IN" w:bidi="hi-IN"/>
        </w:rPr>
        <w:t>К</w:t>
      </w:r>
      <w:r w:rsidRPr="00FE3AB0">
        <w:rPr>
          <w:rFonts w:eastAsia="Arial Unicode MS"/>
          <w:kern w:val="2"/>
          <w:lang w:val="x-none" w:eastAsia="hi-IN" w:bidi="hi-IN"/>
        </w:rPr>
        <w:t>ас</w:t>
      </w:r>
      <w:r w:rsidRPr="00FE3AB0">
        <w:rPr>
          <w:rFonts w:eastAsia="Arial Unicode MS"/>
          <w:kern w:val="2"/>
          <w:lang w:eastAsia="hi-IN" w:bidi="hi-IN"/>
        </w:rPr>
        <w:t>с</w:t>
      </w:r>
      <w:r w:rsidRPr="00FE3AB0">
        <w:rPr>
          <w:rFonts w:eastAsia="Arial Unicode MS"/>
          <w:kern w:val="2"/>
          <w:lang w:val="x-none" w:eastAsia="hi-IN" w:bidi="hi-IN"/>
        </w:rPr>
        <w:t xml:space="preserve">овое исполнение мероприятий программ за счет всех источников </w:t>
      </w:r>
      <w:r w:rsidRPr="00FE3AB0">
        <w:rPr>
          <w:rFonts w:eastAsia="Arial Unicode MS"/>
          <w:kern w:val="2"/>
          <w:lang w:val="x-none" w:eastAsia="hi-IN" w:bidi="hi-IN"/>
        </w:rPr>
        <w:lastRenderedPageBreak/>
        <w:t xml:space="preserve">финансирования составило </w:t>
      </w:r>
      <w:r w:rsidRPr="00FE3AB0">
        <w:rPr>
          <w:rFonts w:eastAsia="Arial Unicode MS"/>
          <w:kern w:val="2"/>
          <w:lang w:eastAsia="hi-IN" w:bidi="hi-IN"/>
        </w:rPr>
        <w:t xml:space="preserve">2561467,52 </w:t>
      </w:r>
      <w:r w:rsidRPr="00FE3AB0">
        <w:rPr>
          <w:rFonts w:eastAsia="Arial Unicode MS"/>
          <w:kern w:val="2"/>
          <w:lang w:val="x-none" w:eastAsia="hi-IN" w:bidi="hi-IN"/>
        </w:rPr>
        <w:t>тыс. рублей (9</w:t>
      </w:r>
      <w:r w:rsidRPr="00FE3AB0">
        <w:rPr>
          <w:rFonts w:eastAsia="Arial Unicode MS"/>
          <w:kern w:val="2"/>
          <w:lang w:eastAsia="hi-IN" w:bidi="hi-IN"/>
        </w:rPr>
        <w:t>5,85</w:t>
      </w:r>
      <w:r w:rsidRPr="00FE3AB0">
        <w:rPr>
          <w:rFonts w:eastAsia="Arial Unicode MS"/>
          <w:kern w:val="2"/>
          <w:lang w:val="x-none" w:eastAsia="hi-IN" w:bidi="hi-IN"/>
        </w:rPr>
        <w:t>% от предусмотренного финансирования на 20</w:t>
      </w:r>
      <w:r w:rsidRPr="00FE3AB0">
        <w:rPr>
          <w:rFonts w:eastAsia="Arial Unicode MS"/>
          <w:kern w:val="2"/>
          <w:lang w:eastAsia="hi-IN" w:bidi="hi-IN"/>
        </w:rPr>
        <w:t>23</w:t>
      </w:r>
      <w:r w:rsidRPr="00FE3AB0">
        <w:rPr>
          <w:rFonts w:eastAsia="Arial Unicode MS"/>
          <w:kern w:val="2"/>
          <w:lang w:val="x-none" w:eastAsia="hi-IN" w:bidi="hi-IN"/>
        </w:rPr>
        <w:t xml:space="preserve">г.), в том числе за счет средств федерального бюджета – </w:t>
      </w:r>
      <w:r w:rsidRPr="00FE3AB0">
        <w:rPr>
          <w:rFonts w:eastAsia="Arial Unicode MS"/>
          <w:kern w:val="2"/>
          <w:lang w:eastAsia="hi-IN" w:bidi="hi-IN"/>
        </w:rPr>
        <w:t>51827,49</w:t>
      </w:r>
      <w:r w:rsidRPr="00FE3AB0">
        <w:rPr>
          <w:rFonts w:eastAsia="Arial Unicode MS"/>
          <w:kern w:val="2"/>
          <w:lang w:val="x-none" w:eastAsia="hi-IN" w:bidi="hi-IN"/>
        </w:rPr>
        <w:t xml:space="preserve"> тыс. рублей (</w:t>
      </w:r>
      <w:r w:rsidRPr="00FE3AB0">
        <w:rPr>
          <w:rFonts w:eastAsia="Arial Unicode MS"/>
          <w:kern w:val="2"/>
          <w:lang w:eastAsia="hi-IN" w:bidi="hi-IN"/>
        </w:rPr>
        <w:t xml:space="preserve">99,93 </w:t>
      </w:r>
      <w:r w:rsidRPr="00FE3AB0">
        <w:rPr>
          <w:rFonts w:eastAsia="Arial Unicode MS"/>
          <w:kern w:val="2"/>
          <w:lang w:val="x-none" w:eastAsia="hi-IN" w:bidi="hi-IN"/>
        </w:rPr>
        <w:t>%), краевого бюджета –</w:t>
      </w:r>
      <w:r w:rsidRPr="00FE3AB0">
        <w:rPr>
          <w:rFonts w:eastAsia="Arial Unicode MS"/>
          <w:kern w:val="2"/>
          <w:lang w:eastAsia="hi-IN" w:bidi="hi-IN"/>
        </w:rPr>
        <w:t xml:space="preserve"> 1532140,63</w:t>
      </w:r>
      <w:r w:rsidRPr="00FE3AB0">
        <w:rPr>
          <w:rFonts w:eastAsia="Arial Unicode MS"/>
          <w:kern w:val="2"/>
          <w:lang w:val="x-none" w:eastAsia="hi-IN" w:bidi="hi-IN"/>
        </w:rPr>
        <w:t xml:space="preserve"> тыс. рублей (9</w:t>
      </w:r>
      <w:r w:rsidRPr="00FE3AB0">
        <w:rPr>
          <w:rFonts w:eastAsia="Arial Unicode MS"/>
          <w:kern w:val="2"/>
          <w:lang w:eastAsia="hi-IN" w:bidi="hi-IN"/>
        </w:rPr>
        <w:t xml:space="preserve">5,5 </w:t>
      </w:r>
      <w:r w:rsidRPr="00FE3AB0">
        <w:rPr>
          <w:rFonts w:eastAsia="Arial Unicode MS"/>
          <w:kern w:val="2"/>
          <w:lang w:val="x-none" w:eastAsia="hi-IN" w:bidi="hi-IN"/>
        </w:rPr>
        <w:t>%), местного бюджета –</w:t>
      </w:r>
      <w:r w:rsidRPr="00FE3AB0">
        <w:rPr>
          <w:rFonts w:eastAsia="Arial Unicode MS"/>
          <w:kern w:val="2"/>
          <w:lang w:eastAsia="hi-IN" w:bidi="hi-IN"/>
        </w:rPr>
        <w:t xml:space="preserve"> 973030,54 </w:t>
      </w:r>
      <w:r w:rsidRPr="00FE3AB0">
        <w:rPr>
          <w:rFonts w:eastAsia="Arial Unicode MS"/>
          <w:kern w:val="2"/>
          <w:lang w:val="x-none" w:eastAsia="hi-IN" w:bidi="hi-IN"/>
        </w:rPr>
        <w:t>тыс. рублей (9</w:t>
      </w:r>
      <w:r w:rsidRPr="00FE3AB0">
        <w:rPr>
          <w:rFonts w:eastAsia="Arial Unicode MS"/>
          <w:kern w:val="2"/>
          <w:lang w:eastAsia="hi-IN" w:bidi="hi-IN"/>
        </w:rPr>
        <w:t xml:space="preserve">6,24 </w:t>
      </w:r>
      <w:r w:rsidRPr="00FE3AB0">
        <w:rPr>
          <w:rFonts w:eastAsia="Arial Unicode MS"/>
          <w:kern w:val="2"/>
          <w:lang w:val="x-none" w:eastAsia="hi-IN" w:bidi="hi-IN"/>
        </w:rPr>
        <w:t xml:space="preserve">%), средства участников программы – </w:t>
      </w:r>
      <w:r w:rsidRPr="00FE3AB0">
        <w:rPr>
          <w:rFonts w:eastAsia="Arial Unicode MS"/>
          <w:kern w:val="2"/>
          <w:lang w:eastAsia="hi-IN" w:bidi="hi-IN"/>
        </w:rPr>
        <w:t>4468,86</w:t>
      </w:r>
      <w:r w:rsidRPr="00FE3AB0">
        <w:rPr>
          <w:rFonts w:eastAsia="Arial Unicode MS"/>
          <w:kern w:val="2"/>
          <w:lang w:val="x-none" w:eastAsia="hi-IN" w:bidi="hi-IN"/>
        </w:rPr>
        <w:t xml:space="preserve"> (</w:t>
      </w:r>
      <w:r w:rsidRPr="00FE3AB0">
        <w:rPr>
          <w:rFonts w:eastAsia="Arial Unicode MS"/>
          <w:kern w:val="2"/>
          <w:lang w:eastAsia="hi-IN" w:bidi="hi-IN"/>
        </w:rPr>
        <w:t xml:space="preserve">85,21 </w:t>
      </w:r>
      <w:r w:rsidRPr="00FE3AB0">
        <w:rPr>
          <w:rFonts w:eastAsia="Arial Unicode MS"/>
          <w:kern w:val="2"/>
          <w:lang w:val="x-none" w:eastAsia="hi-IN" w:bidi="hi-IN"/>
        </w:rPr>
        <w:t>%).</w:t>
      </w:r>
    </w:p>
    <w:p w:rsidR="00FE3AB0" w:rsidRPr="00FE3AB0" w:rsidRDefault="00FE3AB0" w:rsidP="00AA15BB">
      <w:pPr>
        <w:suppressAutoHyphens w:val="0"/>
        <w:ind w:firstLine="567"/>
        <w:jc w:val="both"/>
        <w:rPr>
          <w:szCs w:val="28"/>
        </w:rPr>
      </w:pPr>
      <w:r w:rsidRPr="00FE3AB0">
        <w:rPr>
          <w:szCs w:val="28"/>
        </w:rPr>
        <w:t>В рамках муниципальных программ осуществлялась реализация двух национальных проектов: «Образование», «Демография»</w:t>
      </w:r>
      <w:r w:rsidRPr="00FE3AB0">
        <w:rPr>
          <w:szCs w:val="28"/>
          <w:shd w:val="clear" w:color="auto" w:fill="FFFFFF"/>
        </w:rPr>
        <w:t xml:space="preserve">. </w:t>
      </w:r>
      <w:r w:rsidRPr="00FE3AB0">
        <w:rPr>
          <w:szCs w:val="28"/>
        </w:rPr>
        <w:t>Кассовое исполнение сложилось в сумме 48536,9 тыс. рублей или 99,92 % от предусмотренного планом финансирования на 2023 год, в том числе за счет средств федерального бюджета – 2204,5</w:t>
      </w:r>
      <w:r w:rsidRPr="00FE3AB0">
        <w:rPr>
          <w:b/>
          <w:bCs/>
          <w:sz w:val="24"/>
          <w:lang w:eastAsia="ru-RU"/>
        </w:rPr>
        <w:t xml:space="preserve"> </w:t>
      </w:r>
      <w:r w:rsidRPr="00FE3AB0">
        <w:rPr>
          <w:szCs w:val="28"/>
        </w:rPr>
        <w:t xml:space="preserve">тыс. рублей, краевого бюджета – 46330,9 тыс. рублей, бюджета </w:t>
      </w:r>
      <w:r w:rsidRPr="00FE3AB0">
        <w:rPr>
          <w:color w:val="000000"/>
          <w:szCs w:val="28"/>
        </w:rPr>
        <w:t>Новоалександровского</w:t>
      </w:r>
      <w:r w:rsidRPr="00FE3AB0">
        <w:rPr>
          <w:szCs w:val="28"/>
        </w:rPr>
        <w:t xml:space="preserve"> городского округа – 1,5 тыс. рублей.</w:t>
      </w:r>
    </w:p>
    <w:p w:rsidR="00FE3AB0" w:rsidRPr="00FE3AB0" w:rsidRDefault="00FE3AB0" w:rsidP="00AA15BB">
      <w:pPr>
        <w:ind w:firstLine="567"/>
        <w:jc w:val="both"/>
      </w:pPr>
      <w:r w:rsidRPr="00FE3AB0">
        <w:t>В структуре экономики к числу основных отраслей относятся: сельское хозяйство, промышленность, торговля, сфера услуг, строительство, транспорт, жилищно - коммунальное хозяйство. Ведущее место занимают сельское хозяйство и промышленное производство, на долю которых приходится более 70% общего объема отгруженных товаров по видам экономической деятельности.</w:t>
      </w:r>
    </w:p>
    <w:p w:rsidR="00FE3AB0" w:rsidRPr="00FE3AB0" w:rsidRDefault="00FE3AB0" w:rsidP="00AA15BB">
      <w:pPr>
        <w:widowControl w:val="0"/>
        <w:ind w:firstLine="567"/>
        <w:jc w:val="both"/>
        <w:rPr>
          <w:rFonts w:eastAsia="Arial Unicode MS" w:cs="Mangal"/>
          <w:kern w:val="1"/>
          <w:szCs w:val="28"/>
          <w:lang w:eastAsia="hi-IN" w:bidi="hi-IN"/>
        </w:rPr>
      </w:pPr>
      <w:r w:rsidRPr="00FE3AB0">
        <w:rPr>
          <w:rFonts w:eastAsia="Arial Unicode MS" w:cs="Mangal"/>
          <w:kern w:val="1"/>
          <w:szCs w:val="28"/>
          <w:lang w:eastAsia="hi-IN" w:bidi="hi-IN"/>
        </w:rPr>
        <w:t>Среднегодовая численность населения муниципального округа за 2023 год составила 62,7 тыс. человек (2022 г. - 63,5 тыс. чел.).</w:t>
      </w:r>
    </w:p>
    <w:p w:rsidR="00FE3AB0" w:rsidRPr="00FE3AB0" w:rsidRDefault="00FE3AB0" w:rsidP="00AA15BB">
      <w:pPr>
        <w:widowControl w:val="0"/>
        <w:ind w:firstLine="567"/>
        <w:jc w:val="both"/>
        <w:rPr>
          <w:rFonts w:eastAsia="Arial Unicode MS" w:cs="Mangal"/>
          <w:kern w:val="1"/>
          <w:szCs w:val="28"/>
          <w:lang w:eastAsia="hi-IN" w:bidi="hi-IN"/>
        </w:rPr>
      </w:pPr>
      <w:r w:rsidRPr="00FE3AB0">
        <w:rPr>
          <w:rFonts w:eastAsia="Arial Unicode MS" w:cs="Mangal"/>
          <w:kern w:val="1"/>
          <w:szCs w:val="28"/>
          <w:lang w:eastAsia="hi-IN" w:bidi="hi-IN"/>
        </w:rPr>
        <w:t>Доля населения в трудоспособном возрасте составила 58,2 %, старше трудоспособного возраста - 24,1 %, моложе трудоспособного возраста – 17,7 % (2022 г. – трудоспособного возраста – 60,6 %, старше трудоспособного -19,6 тыс. чел, моложе трудоспособного -19,8 тыс. чел.).</w:t>
      </w:r>
    </w:p>
    <w:p w:rsidR="00FE3AB0" w:rsidRPr="00FE3AB0" w:rsidRDefault="00FE3AB0" w:rsidP="00AA15BB">
      <w:pPr>
        <w:widowControl w:val="0"/>
        <w:ind w:firstLine="567"/>
        <w:jc w:val="both"/>
        <w:rPr>
          <w:rFonts w:eastAsia="Arial Unicode MS"/>
          <w:kern w:val="1"/>
          <w:lang w:eastAsia="hi-IN" w:bidi="hi-IN"/>
        </w:rPr>
      </w:pPr>
      <w:r w:rsidRPr="00FE3AB0">
        <w:rPr>
          <w:rFonts w:eastAsia="Arial Unicode MS"/>
          <w:kern w:val="1"/>
          <w:lang w:eastAsia="hi-IN" w:bidi="hi-IN"/>
        </w:rPr>
        <w:t>Демографическая ситуация за 2023 год характеризуется увеличением рождаемости и снижением смертности.</w:t>
      </w:r>
    </w:p>
    <w:p w:rsidR="00FE3AB0" w:rsidRPr="00FE3AB0" w:rsidRDefault="00FE3AB0" w:rsidP="00AA15BB">
      <w:pPr>
        <w:widowControl w:val="0"/>
        <w:ind w:firstLine="567"/>
        <w:jc w:val="both"/>
        <w:rPr>
          <w:rFonts w:eastAsia="Arial Unicode MS"/>
          <w:kern w:val="1"/>
          <w:lang w:eastAsia="hi-IN" w:bidi="hi-IN"/>
        </w:rPr>
      </w:pPr>
      <w:r w:rsidRPr="00FE3AB0">
        <w:rPr>
          <w:rFonts w:eastAsia="Arial Unicode MS"/>
          <w:kern w:val="1"/>
          <w:lang w:eastAsia="hi-IN" w:bidi="hi-IN"/>
        </w:rPr>
        <w:t>С января по декабрь 2023 года в муниципальном округе родилось 518 детей, что на 33 ребенка больше соответствующего периода прошлого года (2022 г. - 485), умерло 811 человек, смертность снизилась на 78 человек по сравнению с 2022 годом (2022 г. - 889), естественная убыль населения составила 293 человека (2022 г. - 404).</w:t>
      </w:r>
    </w:p>
    <w:p w:rsidR="00FE3AB0" w:rsidRPr="00FE3AB0" w:rsidRDefault="00FE3AB0" w:rsidP="00AA15BB">
      <w:pPr>
        <w:widowControl w:val="0"/>
        <w:ind w:firstLine="567"/>
        <w:jc w:val="both"/>
        <w:rPr>
          <w:rFonts w:eastAsia="Arial Unicode MS"/>
          <w:kern w:val="1"/>
          <w:lang w:eastAsia="hi-IN" w:bidi="hi-IN"/>
        </w:rPr>
      </w:pPr>
      <w:r w:rsidRPr="00FE3AB0">
        <w:rPr>
          <w:rFonts w:eastAsia="Arial Unicode MS"/>
          <w:kern w:val="1"/>
          <w:lang w:eastAsia="hi-IN" w:bidi="hi-IN"/>
        </w:rPr>
        <w:t>Коэффициент рождаемости в расчете на 1000 человек населения составил 8,2 промиле и увеличился к соответствующему периоду прошлого года на 0,4 промиле (2022 г. – 7,8), коэффициент смертности в расчете на 1000 чел. населения составил – 12,9 промиле, что ниже показателя 2022 года на, 1,4 промиле (2022 г. – 14,3).</w:t>
      </w:r>
    </w:p>
    <w:p w:rsidR="00FE3AB0" w:rsidRPr="00FE3AB0" w:rsidRDefault="00FE3AB0" w:rsidP="00AA15BB">
      <w:pPr>
        <w:widowControl w:val="0"/>
        <w:ind w:firstLine="567"/>
        <w:jc w:val="both"/>
        <w:rPr>
          <w:rFonts w:eastAsia="Arial Unicode MS"/>
          <w:kern w:val="1"/>
          <w:lang w:eastAsia="hi-IN" w:bidi="hi-IN"/>
        </w:rPr>
      </w:pPr>
      <w:r w:rsidRPr="00FE3AB0">
        <w:rPr>
          <w:rFonts w:eastAsia="Arial Unicode MS"/>
          <w:kern w:val="1"/>
          <w:lang w:eastAsia="hi-IN" w:bidi="hi-IN"/>
        </w:rPr>
        <w:t>В 2023 году зарегистрировано 313 браков, что на 50 браков меньше соответствующего периода прошлого года (2022 г. - 363), разводов - 272, что на 25 разводов больше уровня 2022 года (2022 г. - 247).</w:t>
      </w:r>
    </w:p>
    <w:p w:rsidR="00FE3AB0" w:rsidRPr="00FE3AB0" w:rsidRDefault="00FE3AB0" w:rsidP="00AA15BB">
      <w:pPr>
        <w:widowControl w:val="0"/>
        <w:ind w:firstLine="567"/>
        <w:jc w:val="both"/>
        <w:rPr>
          <w:rFonts w:eastAsia="Arial Unicode MS"/>
          <w:kern w:val="1"/>
          <w:lang w:eastAsia="hi-IN" w:bidi="hi-IN"/>
        </w:rPr>
      </w:pPr>
      <w:r w:rsidRPr="00FE3AB0">
        <w:rPr>
          <w:rFonts w:eastAsia="Arial Unicode MS"/>
          <w:kern w:val="1"/>
          <w:lang w:eastAsia="hi-IN" w:bidi="hi-IN"/>
        </w:rPr>
        <w:t>Коэффициент брачности на 1000 человек населения за 2023 год составил 5 промиле и снизился к 2022 году на 0,8 промиле (2022г. - 5,8), коэффициент разводимости на 1000 человек населения составил 4,3 промиле, что на 0,3 промиле ниже соответствующего периода прошлого года (2022г. - 4,0)</w:t>
      </w:r>
    </w:p>
    <w:p w:rsidR="00FE3AB0" w:rsidRPr="00FE3AB0" w:rsidRDefault="00FE3AB0" w:rsidP="00AA15BB">
      <w:pPr>
        <w:widowControl w:val="0"/>
        <w:ind w:firstLine="567"/>
        <w:jc w:val="both"/>
        <w:rPr>
          <w:rFonts w:eastAsia="Arial Unicode MS"/>
          <w:iCs/>
          <w:kern w:val="1"/>
          <w:lang w:eastAsia="hi-IN" w:bidi="hi-IN"/>
        </w:rPr>
      </w:pPr>
      <w:r w:rsidRPr="00FE3AB0">
        <w:rPr>
          <w:rFonts w:eastAsia="Arial Unicode MS"/>
          <w:kern w:val="1"/>
          <w:lang w:eastAsia="hi-IN" w:bidi="hi-IN"/>
        </w:rPr>
        <w:t>Миграционные процессы в муниципальном округе характеризуют следующие показатели: за январь - декабрь 2023 года н</w:t>
      </w:r>
      <w:r w:rsidRPr="00FE3AB0">
        <w:rPr>
          <w:rFonts w:eastAsia="Arial Unicode MS"/>
          <w:iCs/>
          <w:kern w:val="1"/>
          <w:lang w:eastAsia="hi-IN" w:bidi="hi-IN"/>
        </w:rPr>
        <w:t xml:space="preserve">а постоянное место </w:t>
      </w:r>
      <w:r w:rsidRPr="00FE3AB0">
        <w:rPr>
          <w:rFonts w:eastAsia="Arial Unicode MS"/>
          <w:iCs/>
          <w:kern w:val="1"/>
          <w:lang w:eastAsia="hi-IN" w:bidi="hi-IN"/>
        </w:rPr>
        <w:lastRenderedPageBreak/>
        <w:t>жительства в муниципальный округ прибыло - 1080 чел., выбыло – 1721чел. (2022 г. прибыло - 1553, выбыло - 1823). Сальдо миграции населения составило (- 641 чел.), за 2022 год (- 270).</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lang w:eastAsia="ru-RU"/>
        </w:rPr>
      </w:pPr>
      <w:r w:rsidRPr="00FE3AB0">
        <w:rPr>
          <w:szCs w:val="28"/>
          <w:lang w:eastAsia="ru-RU"/>
        </w:rPr>
        <w:t>На 1 января 2024 года на территории муниципального округа осуществляют деятельность 2047 субъектов малого и среднего предпринимательства, из них 194 малых и средних предприятий, включая микро предприятия, 1853 ед. индивидуальных предпринимателей (без самозанятых – плательщиков специального налогового режима «Налог на профессиональный доход»),</w:t>
      </w:r>
      <w:r w:rsidRPr="00FE3AB0">
        <w:rPr>
          <w:i/>
          <w:sz w:val="40"/>
          <w:szCs w:val="40"/>
          <w:lang w:eastAsia="ru-RU"/>
        </w:rPr>
        <w:t xml:space="preserve"> </w:t>
      </w:r>
      <w:r w:rsidRPr="00FE3AB0">
        <w:rPr>
          <w:szCs w:val="28"/>
          <w:lang w:eastAsia="ru-RU"/>
        </w:rPr>
        <w:t>(2022 г.: всего – 1976 ед., из них 202 малых и средних предприятий, 1774 ед. ИП, без самозанятых).</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lang w:eastAsia="ru-RU"/>
        </w:rPr>
      </w:pPr>
      <w:r w:rsidRPr="00FE3AB0">
        <w:rPr>
          <w:szCs w:val="28"/>
          <w:lang w:eastAsia="ru-RU"/>
        </w:rPr>
        <w:t>В отраслевой структуре муниципального округа 57 % субъектов предпринимательства приходится на сферу потребительского рынка: торговлю, общественное питание, бытовое обслуживание населения, сферу услуг, 21 % на сельскохозяйственную отрасль, 14 % - на транспорт и связь, 4 % - на обрабатывающие производства, 2,5 % - на строительство, прочие виды деятельности – 1,5 %.</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lang w:eastAsia="ru-RU"/>
        </w:rPr>
      </w:pPr>
      <w:r w:rsidRPr="00FE3AB0">
        <w:rPr>
          <w:szCs w:val="28"/>
          <w:lang w:eastAsia="ru-RU"/>
        </w:rPr>
        <w:t>Оборот товаров (работ, услуг), производимых субъектами малого и среднего предпринимательства по всем видам экономической деятельности в действующих ценах в 2023 году, составил 12,0 млрд. рублей, что больше соответствующего периода прошлого года на 0,2 млрд. рублей или 101,7 % (2022 г. - 11,8 млрд. рублей).</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color w:val="000000"/>
          <w:lang w:eastAsia="ru-RU"/>
        </w:rPr>
      </w:pPr>
      <w:r w:rsidRPr="00FE3AB0">
        <w:rPr>
          <w:szCs w:val="28"/>
          <w:lang w:eastAsia="ru-RU"/>
        </w:rPr>
        <w:t xml:space="preserve">Среднесписочная численность работников крупных и средних организаций (без субьектов малого предпринимательства) составила 8,39 тыс. человек, </w:t>
      </w:r>
      <w:r w:rsidRPr="00FE3AB0">
        <w:rPr>
          <w:rFonts w:eastAsia="Arial Unicode MS" w:cs="Mangal"/>
          <w:kern w:val="1"/>
          <w:lang w:eastAsia="hi-IN" w:bidi="hi-IN"/>
        </w:rPr>
        <w:t>среднемесячная заработная плата увеличилась на 10,1 % и составила 46012,6 рублей (2022 г. – 41782,3 рублей), но ниже уровня среднемесячной заработной платы по Ставропольскому краю (</w:t>
      </w:r>
      <w:r w:rsidRPr="00FE3AB0">
        <w:rPr>
          <w:color w:val="000000"/>
          <w:lang w:eastAsia="ru-RU"/>
        </w:rPr>
        <w:t>52009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cs="Mangal"/>
          <w:kern w:val="1"/>
          <w:lang w:eastAsia="hi-IN" w:bidi="hi-IN"/>
        </w:rPr>
      </w:pPr>
      <w:r w:rsidRPr="00FE3AB0">
        <w:rPr>
          <w:rFonts w:eastAsia="Arial Unicode MS" w:cs="Mangal"/>
          <w:kern w:val="1"/>
          <w:lang w:eastAsia="hi-IN" w:bidi="hi-IN"/>
        </w:rPr>
        <w:t>На 1 января 2024 года согласно данным О</w:t>
      </w:r>
      <w:r w:rsidRPr="00FE3AB0">
        <w:rPr>
          <w:lang w:eastAsia="ru-RU"/>
        </w:rPr>
        <w:t xml:space="preserve">тделения Фонда пенсионного и социального страхования Российской Федерации по Ставропольскому краю </w:t>
      </w:r>
      <w:r w:rsidRPr="00FE3AB0">
        <w:rPr>
          <w:rFonts w:eastAsia="Arial Unicode MS" w:cs="Mangal"/>
          <w:kern w:val="1"/>
          <w:lang w:eastAsia="hi-IN" w:bidi="hi-IN"/>
        </w:rPr>
        <w:t>на учёте получателей пенсий состоит 16917 человек, получателей ЕДВ - 5947 человек (2022г. - получателей пенсий - 17245 чел., получателей ЕДВ - 5879 чел.). Средний размер пенсий составил 17739,86 рублей, что выше уровня прошлого года на 1226,57 рублей (2022 г. – 16513,29 руб.). Численность работающих пенсионеров за 2023 год составила 2883 человека, что ниже соответствующего периода прошлого года на 75 человек (2022г. - 2958 чел.).</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cs="Mangal"/>
          <w:kern w:val="1"/>
          <w:lang w:eastAsia="hi-IN" w:bidi="hi-IN"/>
        </w:rPr>
      </w:pPr>
      <w:r w:rsidRPr="00FE3AB0">
        <w:rPr>
          <w:lang w:eastAsia="ru-RU"/>
        </w:rPr>
        <w:t>По данным управлением Федеральной службы государственной статистики по Северо - Кавказскому федеральному округу (далее – Северо - Кавказстат) з</w:t>
      </w:r>
      <w:r w:rsidRPr="00FE3AB0">
        <w:rPr>
          <w:rFonts w:eastAsia="Arial Unicode MS" w:cs="Mangal"/>
          <w:kern w:val="1"/>
          <w:lang w:eastAsia="hi-IN" w:bidi="hi-IN"/>
        </w:rPr>
        <w:t>а 2023 год оборот крупных и средних организаций по всем видам экономической деятельности в действующих ценах составил 33 млрд. 566,4 млн. руб., и снизился к 2022 году на 9,2 % (2022 г. - 36 млрд. 956,3 млн.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lang w:eastAsia="ru-RU"/>
        </w:rPr>
      </w:pPr>
      <w:r w:rsidRPr="00FE3AB0">
        <w:rPr>
          <w:lang w:eastAsia="ru-RU"/>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по крупным и средним организациям </w:t>
      </w:r>
      <w:r w:rsidRPr="00FE3AB0">
        <w:rPr>
          <w:rFonts w:eastAsia="Arial Unicode MS" w:cs="Mangal"/>
          <w:color w:val="000000"/>
          <w:kern w:val="1"/>
          <w:lang w:eastAsia="hi-IN" w:bidi="hi-IN"/>
        </w:rPr>
        <w:t>Новоалександровского муниципального</w:t>
      </w:r>
      <w:r w:rsidRPr="00FE3AB0">
        <w:rPr>
          <w:lang w:eastAsia="ru-RU"/>
        </w:rPr>
        <w:t xml:space="preserve"> округа за январь - декабрь 2023 года составил 14 млрд. 617,3 млн. рублей и снизился </w:t>
      </w:r>
      <w:r w:rsidRPr="00FE3AB0">
        <w:rPr>
          <w:rFonts w:eastAsia="Arial Unicode MS" w:cs="Mangal"/>
          <w:kern w:val="1"/>
          <w:lang w:eastAsia="hi-IN" w:bidi="hi-IN"/>
        </w:rPr>
        <w:t xml:space="preserve">к 2022 году </w:t>
      </w:r>
      <w:r w:rsidRPr="00FE3AB0">
        <w:rPr>
          <w:lang w:eastAsia="ru-RU"/>
        </w:rPr>
        <w:t>на 2,2 % (14 млрд. 942,4 млн.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bCs/>
          <w:lang w:eastAsia="ru-RU"/>
        </w:rPr>
      </w:pPr>
      <w:r w:rsidRPr="00FE3AB0">
        <w:rPr>
          <w:rFonts w:eastAsia="Arial Unicode MS" w:cs="Mangal"/>
          <w:kern w:val="1"/>
          <w:lang w:eastAsia="hi-IN" w:bidi="hi-IN"/>
        </w:rPr>
        <w:t xml:space="preserve">По промышленным видам деятельности объём отгруженных товаров </w:t>
      </w:r>
      <w:r w:rsidRPr="00FE3AB0">
        <w:rPr>
          <w:rFonts w:eastAsia="Arial Unicode MS" w:cs="Mangal"/>
          <w:kern w:val="1"/>
          <w:lang w:eastAsia="hi-IN" w:bidi="hi-IN"/>
        </w:rPr>
        <w:lastRenderedPageBreak/>
        <w:t>собственного производства, выполненных работ и услуг собственными силами составил 5 млрд. 413,3 млн. руб., и снизился к 2022 году на 7,2 % (2022 г. – 5 млрд. 831,2 млн. руб.). На снижение данного показателя повлияло то, что</w:t>
      </w:r>
      <w:r w:rsidRPr="00FE3AB0">
        <w:rPr>
          <w:bCs/>
          <w:lang w:eastAsia="ru-RU"/>
        </w:rPr>
        <w:t xml:space="preserve"> в августе 2023 года приостановлена деятельность ООО СХП «Югроспром» (остановлена работа 7 цехов), что так же отразилось на снижении выпускаемой продукции: макаронных изделий, кондитерских изделий, полуфабрикатов, колбасных изделий, мясо, хлеба и хлебобулочных изделий.</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cs="Mangal"/>
          <w:kern w:val="1"/>
          <w:szCs w:val="28"/>
          <w:lang w:eastAsia="hi-IN" w:bidi="hi-IN"/>
        </w:rPr>
      </w:pPr>
      <w:r w:rsidRPr="00FE3AB0">
        <w:rPr>
          <w:rFonts w:eastAsia="Arial Unicode MS" w:cs="Mangal"/>
          <w:kern w:val="1"/>
          <w:szCs w:val="28"/>
          <w:lang w:eastAsia="hi-IN" w:bidi="hi-IN"/>
        </w:rPr>
        <w:t>Сельскохозяйственными организациями за 2023 год получено прибыли от реализации продукции, работ и услуг в сумме 4,6 млрд. рублей, что на 6 % меньше, чем за 2022 год (4,9 млрд.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cs="Mangal"/>
          <w:kern w:val="1"/>
          <w:szCs w:val="28"/>
          <w:lang w:eastAsia="hi-IN" w:bidi="hi-IN"/>
        </w:rPr>
      </w:pPr>
      <w:r w:rsidRPr="00FE3AB0">
        <w:rPr>
          <w:rFonts w:eastAsia="Arial Unicode MS" w:cs="Mangal"/>
          <w:kern w:val="1"/>
          <w:szCs w:val="28"/>
          <w:lang w:eastAsia="hi-IN" w:bidi="hi-IN"/>
        </w:rPr>
        <w:t>Прибыль от реализации продукции растениеводства уменьшилась на 13 % и составила 4,1 млрд. рублей, (2022 г. – 4,7 млрд. руб.). В животноводстве прибыль увеличилась на 35 % и составила 119 млн. рублей (2022 г. – 88,2 млн.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cs="Mangal"/>
          <w:kern w:val="1"/>
          <w:szCs w:val="28"/>
          <w:lang w:eastAsia="hi-IN" w:bidi="hi-IN"/>
        </w:rPr>
      </w:pPr>
      <w:r w:rsidRPr="00FE3AB0">
        <w:rPr>
          <w:rFonts w:eastAsia="Arial Unicode MS" w:cs="Mangal"/>
          <w:kern w:val="1"/>
          <w:szCs w:val="28"/>
          <w:lang w:eastAsia="hi-IN" w:bidi="hi-IN"/>
        </w:rPr>
        <w:t>Чистая прибыль за 2023 год уменьшилась на 4 % в сравнении с 2022 годом и составила – 3,4 млрд. рублей (2022 г. – 3,9 млрд.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cs="Mangal"/>
          <w:kern w:val="1"/>
          <w:szCs w:val="28"/>
          <w:lang w:eastAsia="hi-IN" w:bidi="hi-IN"/>
        </w:rPr>
      </w:pPr>
      <w:r w:rsidRPr="00FE3AB0">
        <w:rPr>
          <w:rFonts w:eastAsia="Arial Unicode MS" w:cs="Mangal"/>
          <w:kern w:val="1"/>
          <w:szCs w:val="28"/>
          <w:lang w:eastAsia="hi-IN" w:bidi="hi-IN"/>
        </w:rPr>
        <w:t>Уровень рентабельности от реализации продукции сельскохозяйственного производства уменьшился на 13,7 % и составил 36,7 % (2022г. – 50,4%). Снижение связано с ростом затрат и отменой экспорта сельхозпродукции.</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cs="Mangal"/>
          <w:kern w:val="1"/>
          <w:szCs w:val="28"/>
          <w:lang w:eastAsia="hi-IN" w:bidi="hi-IN"/>
        </w:rPr>
      </w:pPr>
      <w:r w:rsidRPr="00FE3AB0">
        <w:rPr>
          <w:rFonts w:eastAsia="Arial Unicode MS" w:cs="Mangal"/>
          <w:kern w:val="1"/>
          <w:szCs w:val="28"/>
          <w:lang w:eastAsia="hi-IN" w:bidi="hi-IN"/>
        </w:rPr>
        <w:t>За 2023 год валовой доход составил 20,4 млрд. руб., что на 1,6 млрд. руб. больше, чем в 2022 году (2022г. – 17,7 млрд. рублей).</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708"/>
        <w:contextualSpacing/>
        <w:jc w:val="both"/>
        <w:rPr>
          <w:rFonts w:eastAsia="Arial Unicode MS"/>
          <w:kern w:val="2"/>
          <w:lang w:eastAsia="hi-IN" w:bidi="hi-IN"/>
        </w:rPr>
      </w:pPr>
      <w:r w:rsidRPr="00FE3AB0">
        <w:rPr>
          <w:rFonts w:eastAsia="Arial Unicode MS"/>
          <w:kern w:val="2"/>
          <w:lang w:eastAsia="hi-IN" w:bidi="hi-IN"/>
        </w:rPr>
        <w:t xml:space="preserve">По крупным и средним организациям сложился положительный финансовый результат (прибыль минус убыток) и составил 2875,8 млн. руб., </w:t>
      </w:r>
      <w:r w:rsidRPr="00FE3AB0">
        <w:rPr>
          <w:lang w:eastAsia="ru-RU"/>
        </w:rPr>
        <w:t xml:space="preserve">что ниже соответствующего периода прошлого года на 1615,0 млн. рублей или на 36,0 % </w:t>
      </w:r>
      <w:r w:rsidRPr="00FE3AB0">
        <w:rPr>
          <w:rFonts w:eastAsia="Arial Unicode MS"/>
          <w:kern w:val="2"/>
          <w:lang w:eastAsia="hi-IN" w:bidi="hi-IN"/>
        </w:rPr>
        <w:t>(2022 г. – 4490,8 млн.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708"/>
        <w:contextualSpacing/>
        <w:jc w:val="both"/>
        <w:rPr>
          <w:rFonts w:eastAsia="Arial Unicode MS"/>
          <w:kern w:val="2"/>
          <w:lang w:eastAsia="hi-IN" w:bidi="hi-IN"/>
        </w:rPr>
      </w:pPr>
      <w:r w:rsidRPr="00FE3AB0">
        <w:rPr>
          <w:rFonts w:eastAsia="Arial Unicode MS"/>
          <w:kern w:val="2"/>
          <w:lang w:eastAsia="hi-IN" w:bidi="hi-IN"/>
        </w:rPr>
        <w:t>Из 25 наблюдаемых предприятий, в 23 получена прибыль в сумме 2945,7 млн. руб. (2022 г. наблюдалось 25 предприятий, прибыль получена в 23 предприятиях в сумме 4521,6 млн.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708"/>
        <w:contextualSpacing/>
        <w:jc w:val="both"/>
        <w:rPr>
          <w:rFonts w:eastAsia="Arial Unicode MS"/>
          <w:kern w:val="2"/>
          <w:lang w:eastAsia="hi-IN" w:bidi="hi-IN"/>
        </w:rPr>
      </w:pPr>
      <w:r w:rsidRPr="00FE3AB0">
        <w:rPr>
          <w:rFonts w:eastAsia="Arial Unicode MS"/>
          <w:kern w:val="2"/>
          <w:lang w:eastAsia="hi-IN" w:bidi="hi-IN"/>
        </w:rPr>
        <w:t>Доля прибыльных организаций составила 92 % (2022 г. – 92 %).</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708"/>
        <w:contextualSpacing/>
        <w:jc w:val="both"/>
        <w:rPr>
          <w:rFonts w:eastAsia="Arial Unicode MS"/>
          <w:kern w:val="2"/>
          <w:lang w:eastAsia="hi-IN" w:bidi="hi-IN"/>
        </w:rPr>
      </w:pPr>
      <w:r w:rsidRPr="00FE3AB0">
        <w:rPr>
          <w:rFonts w:eastAsia="Arial Unicode MS"/>
          <w:kern w:val="2"/>
          <w:lang w:eastAsia="hi-IN" w:bidi="hi-IN"/>
        </w:rPr>
        <w:t>Убыток получен 2 предприятиями в сумме 69,9 млн. руб. (2022г. – убыток получен 2 предприятиями в сумме 30,8 млн. руб.).</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708"/>
        <w:contextualSpacing/>
        <w:jc w:val="both"/>
        <w:rPr>
          <w:rFonts w:eastAsia="Arial Unicode MS" w:cs="Mangal"/>
          <w:kern w:val="1"/>
          <w:lang w:eastAsia="hi-IN" w:bidi="hi-IN"/>
        </w:rPr>
      </w:pPr>
      <w:r w:rsidRPr="00FE3AB0">
        <w:rPr>
          <w:rFonts w:eastAsia="Arial Unicode MS" w:cs="Mangal"/>
          <w:kern w:val="1"/>
          <w:lang w:eastAsia="hi-IN" w:bidi="hi-IN"/>
        </w:rPr>
        <w:t>Главным финансовым инструментом для достижения социально-экономического развития городского округа является бюджет</w:t>
      </w:r>
      <w:r w:rsidRPr="00FE3AB0">
        <w:rPr>
          <w:lang w:eastAsia="ru-RU"/>
        </w:rPr>
        <w:t xml:space="preserve"> Новоалександровского городского округа (далее - бюджет городского округа)</w:t>
      </w:r>
      <w:r w:rsidRPr="00FE3AB0">
        <w:rPr>
          <w:rFonts w:eastAsia="Arial Unicode MS" w:cs="Mangal"/>
          <w:kern w:val="1"/>
          <w:lang w:eastAsia="hi-IN" w:bidi="hi-IN"/>
        </w:rPr>
        <w:t>.</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708"/>
        <w:contextualSpacing/>
        <w:jc w:val="both"/>
        <w:rPr>
          <w:bCs/>
          <w:lang w:eastAsia="ru-RU"/>
        </w:rPr>
      </w:pPr>
      <w:r w:rsidRPr="00FE3AB0">
        <w:rPr>
          <w:lang w:eastAsia="ru-RU"/>
        </w:rPr>
        <w:t>За 2023 год в бюджет городского округа поступили средства в сумме 22734812 тыс. рублей.</w:t>
      </w:r>
      <w:r w:rsidRPr="00FE3AB0">
        <w:rPr>
          <w:bCs/>
          <w:lang w:eastAsia="ru-RU"/>
        </w:rPr>
        <w:t xml:space="preserve"> </w:t>
      </w:r>
      <w:r w:rsidRPr="00FE3AB0">
        <w:rPr>
          <w:lang w:val="x-none" w:eastAsia="x-none"/>
        </w:rPr>
        <w:t xml:space="preserve">Доходная часть бюджета </w:t>
      </w:r>
      <w:r w:rsidRPr="00FE3AB0">
        <w:rPr>
          <w:lang w:eastAsia="x-none"/>
        </w:rPr>
        <w:t xml:space="preserve">городского округа </w:t>
      </w:r>
      <w:r w:rsidRPr="00FE3AB0">
        <w:rPr>
          <w:lang w:val="x-none" w:eastAsia="x-none"/>
        </w:rPr>
        <w:t xml:space="preserve">при уточненном годовом плане </w:t>
      </w:r>
      <w:r w:rsidRPr="00FE3AB0">
        <w:rPr>
          <w:lang w:eastAsia="x-none"/>
        </w:rPr>
        <w:t>- 2789300</w:t>
      </w:r>
      <w:r w:rsidRPr="00FE3AB0">
        <w:rPr>
          <w:lang w:val="x-none" w:eastAsia="x-none"/>
        </w:rPr>
        <w:t xml:space="preserve"> тыс. рублей</w:t>
      </w:r>
      <w:r w:rsidRPr="00FE3AB0">
        <w:rPr>
          <w:lang w:eastAsia="x-none"/>
        </w:rPr>
        <w:t>,</w:t>
      </w:r>
      <w:r w:rsidRPr="00FE3AB0">
        <w:rPr>
          <w:lang w:val="x-none" w:eastAsia="x-none"/>
        </w:rPr>
        <w:t xml:space="preserve"> </w:t>
      </w:r>
      <w:r w:rsidRPr="00FE3AB0">
        <w:rPr>
          <w:lang w:eastAsia="x-none"/>
        </w:rPr>
        <w:t>исполнена на 98,0 %</w:t>
      </w:r>
      <w:r w:rsidRPr="00FE3AB0">
        <w:rPr>
          <w:bCs/>
          <w:lang w:eastAsia="ru-RU"/>
        </w:rPr>
        <w:t>.</w:t>
      </w:r>
    </w:p>
    <w:p w:rsidR="00FE3AB0" w:rsidRPr="00FE3AB0" w:rsidRDefault="00FE3AB0" w:rsidP="00AA15BB">
      <w:pPr>
        <w:widowControl w:val="0"/>
        <w:pBdr>
          <w:top w:val="single" w:sz="4" w:space="1" w:color="FFFFFF"/>
          <w:left w:val="single" w:sz="4" w:space="0" w:color="FFFFFF"/>
          <w:bottom w:val="single" w:sz="4" w:space="29" w:color="FFFFFF"/>
          <w:right w:val="single" w:sz="4" w:space="1" w:color="FFFFFF"/>
        </w:pBdr>
        <w:ind w:firstLine="708"/>
        <w:contextualSpacing/>
        <w:jc w:val="both"/>
        <w:rPr>
          <w:lang w:eastAsia="ru-RU"/>
        </w:rPr>
      </w:pPr>
      <w:r w:rsidRPr="00FE3AB0">
        <w:rPr>
          <w:lang w:eastAsia="ru-RU"/>
        </w:rPr>
        <w:t>В структуре доходов территории фактическое поступление налоговых и неналоговых доходов составляет 22,1 %, или 603533,73 тыс. руб.; безвозмездные поступления – 77,9 %, или 2131278,69 тыс. руб.</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lang w:eastAsia="ru-RU"/>
        </w:rPr>
      </w:pPr>
      <w:r w:rsidRPr="00FE3AB0">
        <w:rPr>
          <w:lang w:eastAsia="ru-RU"/>
        </w:rPr>
        <w:t>Годовые плановые назначения по поступлению налоговых и неналоговых доходов в бюджет городского округа исполнены на 102,4 %, в результате чего дополнительно поступило 13892 тыс. рублей. (2022 г. -101,5%)</w:t>
      </w:r>
    </w:p>
    <w:p w:rsidR="00AA15BB" w:rsidRDefault="00AA15BB"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lang w:eastAsia="ru-RU"/>
        </w:rPr>
      </w:pP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center"/>
        <w:rPr>
          <w:rFonts w:eastAsia="Calibri"/>
          <w:lang w:eastAsia="en-US"/>
        </w:rPr>
      </w:pPr>
      <w:r w:rsidRPr="00FE3AB0">
        <w:rPr>
          <w:szCs w:val="28"/>
        </w:rPr>
        <w:lastRenderedPageBreak/>
        <w:t>Оценка результатов реализации Стратегии</w:t>
      </w:r>
      <w:r w:rsidR="00AA15BB">
        <w:rPr>
          <w:szCs w:val="28"/>
        </w:rPr>
        <w:t xml:space="preserve"> </w:t>
      </w:r>
      <w:r w:rsidRPr="00FE3AB0">
        <w:rPr>
          <w:lang w:eastAsia="ja-JP"/>
        </w:rPr>
        <w:t>II этап реализации Стратегии социально - экономического развития Новоалександровского городского округа Ставропольского края</w:t>
      </w:r>
      <w:r w:rsidR="00AA15BB">
        <w:rPr>
          <w:lang w:eastAsia="ja-JP"/>
        </w:rPr>
        <w:t xml:space="preserve"> </w:t>
      </w:r>
      <w:r w:rsidRPr="00FE3AB0">
        <w:rPr>
          <w:rFonts w:eastAsia="Calibri"/>
          <w:lang w:eastAsia="en-US"/>
        </w:rPr>
        <w:t>(2022 - 2024 годы)</w:t>
      </w:r>
    </w:p>
    <w:p w:rsidR="00AA15BB" w:rsidRDefault="00AA15BB" w:rsidP="00AA15BB">
      <w:pPr>
        <w:widowControl w:val="0"/>
        <w:pBdr>
          <w:top w:val="single" w:sz="4" w:space="1" w:color="FFFFFF"/>
          <w:left w:val="single" w:sz="4" w:space="0" w:color="FFFFFF"/>
          <w:bottom w:val="single" w:sz="4" w:space="29" w:color="FFFFFF"/>
          <w:right w:val="single" w:sz="4" w:space="1" w:color="FFFFFF"/>
        </w:pBdr>
        <w:ind w:firstLine="567"/>
        <w:contextualSpacing/>
        <w:jc w:val="center"/>
        <w:rPr>
          <w:rFonts w:eastAsia="Calibri"/>
          <w:lang w:eastAsia="en-US"/>
        </w:rPr>
      </w:pP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2"/>
        </w:rPr>
      </w:pPr>
      <w:r w:rsidRPr="00FE3AB0">
        <w:rPr>
          <w:szCs w:val="22"/>
        </w:rPr>
        <w:t>Деятельность органов местного самоуправления Новоалександровского городского округа Ставропольского края в 2023 году была направлена на увеличение темпов роста экономики, формирование благоприятной инвестиционной среды, поддержку и развитие бизнеса, обеспечение стабильности, безопасности проживания на территории муниципального округа и на выполнение основных направлений и целевых индикаторов предусмотренных Стратегией.</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Реализация Стратегии в 2023 году предполагала системный подход, направленный на ускорение экономического роста, устойчивое развитие человеческого потенциала при сбалансированной пространственной политике.</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Проведенный анализ за 2023 год итогов реализации Стратегии показывает, что сохранилась устойчивая тенденция социально-экономического развития муниципального округа, в основном достигнуты запланированные показатели оценки достижения стратегических целей.</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На основе данных Северо - Кавказстата, структурных подразделений и отделов администрации Новоалександровского муниципального округа получены следующие итоги реализации Стратегии за 2023 год.</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Из 60</w:t>
      </w:r>
      <w:r w:rsidRPr="00FE3AB0">
        <w:rPr>
          <w:bCs/>
          <w:szCs w:val="28"/>
        </w:rPr>
        <w:t xml:space="preserve"> показателей оценки достижения стратегических целей</w:t>
      </w:r>
      <w:r w:rsidRPr="00FE3AB0">
        <w:rPr>
          <w:szCs w:val="28"/>
        </w:rPr>
        <w:t xml:space="preserve"> социально-экономического развития городского округа </w:t>
      </w:r>
      <w:r w:rsidRPr="00FE3AB0">
        <w:rPr>
          <w:bCs/>
          <w:szCs w:val="28"/>
        </w:rPr>
        <w:t>по итогам 2023 года по 50 показателям наблюдается стабильность и положительная динамика</w:t>
      </w:r>
      <w:r w:rsidRPr="00FE3AB0">
        <w:rPr>
          <w:szCs w:val="28"/>
        </w:rPr>
        <w:t>, по 10 показателям - результат не достигнут (2022 год:</w:t>
      </w:r>
      <w:r w:rsidRPr="00FE3AB0">
        <w:rPr>
          <w:bCs/>
          <w:szCs w:val="28"/>
        </w:rPr>
        <w:t xml:space="preserve"> 52 показателя - стабильность и положительная динамика</w:t>
      </w:r>
      <w:r w:rsidRPr="00FE3AB0">
        <w:rPr>
          <w:szCs w:val="28"/>
        </w:rPr>
        <w:t>, по 8 - ми отрицательный результат).</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Достижению поставленной стратегической цели «Создание нового качества жизни в комфортной среде проживания» способствовало решение 8 основных задач.</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Выполнение основных целевых показателей стратегической цели «</w:t>
      </w:r>
      <w:r w:rsidRPr="00FE3AB0">
        <w:t>Сохранение населения, здоровья и благополучия людей, комфортная и безопасная среда для жизни</w:t>
      </w:r>
      <w:r w:rsidRPr="00FE3AB0">
        <w:rPr>
          <w:szCs w:val="28"/>
        </w:rPr>
        <w:t>» следующее:</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 фактическое значение показателя «численность постоянного населения (среднегодовая)» в 2023 году составил 62,7 тыс. человек и увеличилась к плановому значению показателя на 2023 год на 0,8 тыс. чел, но уменьшилась к показателю 2018 года на 2,4 тыс. человек (2018 г. – 65,1 тыс. чел.);</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 общий коэффициент рождаемости (число родившихся на 1000 человек населения) составил 8,2 промиле и снизился как к плановому значению на 0,3 промиле, так и к показателю 2018 года на 1,2 промиле (2018 г. - 9,4);</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kern w:val="1"/>
          <w:lang w:eastAsia="hi-IN" w:bidi="hi-IN"/>
        </w:rPr>
      </w:pPr>
      <w:r w:rsidRPr="00FE3AB0">
        <w:rPr>
          <w:szCs w:val="28"/>
        </w:rPr>
        <w:t xml:space="preserve">- общий коэффициент смертности (число умерших на 1000 человек населения) составил 12,9 промиле, снижение к плановому значению 2023 года составило 4,6 промиле, к уровню 2018 года снижение на 0,4 промиле (2018 г. - 13,9). Наблюдается положительная динамика, так в 2023 году </w:t>
      </w:r>
      <w:r w:rsidRPr="00FE3AB0">
        <w:rPr>
          <w:rFonts w:eastAsia="Arial Unicode MS"/>
          <w:kern w:val="1"/>
          <w:lang w:eastAsia="hi-IN" w:bidi="hi-IN"/>
        </w:rPr>
        <w:t xml:space="preserve">умерло 811 человек, смертность снизилась на 78 человек по сравнению с 2022 годом (2022 </w:t>
      </w:r>
      <w:r w:rsidRPr="00FE3AB0">
        <w:rPr>
          <w:rFonts w:eastAsia="Arial Unicode MS"/>
          <w:kern w:val="1"/>
          <w:lang w:eastAsia="hi-IN" w:bidi="hi-IN"/>
        </w:rPr>
        <w:lastRenderedPageBreak/>
        <w:t>г. - 889), естественная убыль населения составила 293 человека (2022 г. - 404).</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 ожидаемая продолжительность жизни при рождении составила 70,6 лет, что выше планового значения 2022 года на 0,1 лет и выше показателя 2018 года на 0,6 лет (2018г. -70 лет);</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zCs w:val="28"/>
        </w:rPr>
        <w:t>- с</w:t>
      </w:r>
      <w:r w:rsidRPr="00FE3AB0">
        <w:t>мертность населения от всех причин смерти (на 1000 человек населения) составила 10,3 промиле и уменьшилась как к плановому значению на 2023 год на 4,1 промиле, так и к уровню 2018 года на 3,1 промиле (2018 г. - 13,4);</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t>- охват всех граждан профилактическими медицинскими осмотрами составил 100,5 %, увеличение к плановому значению на 2023 год составило 2,5 %, к уровню 2018 года увеличился на 0,7% (2018 г. - 99,8%);</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zCs w:val="28"/>
        </w:rPr>
        <w:t>- о</w:t>
      </w:r>
      <w:r w:rsidRPr="00FE3AB0">
        <w:t>хват населения иммунизацией в рамках Национального календаря профилактических прививок не менее 95% от подлежащих иммунизации в 2023 году составил 99,0 %, что ниже планового значения на 2023 год и к уровню 2018 года на 1,0% (2018 г. - 100%);</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iCs/>
          <w:kern w:val="1"/>
          <w:lang w:eastAsia="hi-IN" w:bidi="hi-IN"/>
        </w:rPr>
      </w:pPr>
      <w:r w:rsidRPr="00FE3AB0">
        <w:t>- коэффициент миграционного прироста на 10 тыс. человек населения составил (- 102,2 промиле), что ниже на 40,7 промиле планового значения на 2023 год на (- 61,5 промиле), в 2018 году данный показатель составлял 48,7 промиле. Справочно:</w:t>
      </w:r>
      <w:r w:rsidRPr="00FE3AB0">
        <w:rPr>
          <w:rFonts w:eastAsia="Arial Unicode MS"/>
          <w:kern w:val="1"/>
          <w:lang w:eastAsia="hi-IN" w:bidi="hi-IN"/>
        </w:rPr>
        <w:t xml:space="preserve"> за январь - декабрь 2023 года н</w:t>
      </w:r>
      <w:r w:rsidRPr="00FE3AB0">
        <w:rPr>
          <w:rFonts w:eastAsia="Arial Unicode MS"/>
          <w:iCs/>
          <w:kern w:val="1"/>
          <w:lang w:eastAsia="hi-IN" w:bidi="hi-IN"/>
        </w:rPr>
        <w:t>а постоянное место жительства в муниципальный округ прибыло - 1080 человек, выбыло – 1721 (2022 г. прибыло - 1553, выбыло - 1823). Сальдо миграции населения составило (- 641 чел.), за 2022 год (- 270).</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pacing w:val="-1"/>
          <w:szCs w:val="28"/>
        </w:rPr>
      </w:pPr>
      <w:r w:rsidRPr="00FE3AB0">
        <w:rPr>
          <w:szCs w:val="28"/>
        </w:rPr>
        <w:t xml:space="preserve">- </w:t>
      </w:r>
      <w:r w:rsidRPr="00FE3AB0">
        <w:rPr>
          <w:spacing w:val="-1"/>
          <w:szCs w:val="28"/>
        </w:rPr>
        <w:t xml:space="preserve">доля населения, </w:t>
      </w:r>
      <w:r w:rsidRPr="00FE3AB0">
        <w:rPr>
          <w:spacing w:val="-3"/>
          <w:szCs w:val="28"/>
        </w:rPr>
        <w:t xml:space="preserve">систематически занимающегося физической культурой и спортом, в общей численности </w:t>
      </w:r>
      <w:r w:rsidRPr="00FE3AB0">
        <w:rPr>
          <w:spacing w:val="-1"/>
          <w:szCs w:val="28"/>
        </w:rPr>
        <w:t xml:space="preserve">населения в 2023 году фактически составила 65,5 % и увеличилась на 10,2 % как к плановому значению на 2023 год, так и к </w:t>
      </w:r>
      <w:r w:rsidRPr="00FE3AB0">
        <w:rPr>
          <w:szCs w:val="28"/>
        </w:rPr>
        <w:t xml:space="preserve">фактическому уровню </w:t>
      </w:r>
      <w:r w:rsidRPr="00FE3AB0">
        <w:rPr>
          <w:spacing w:val="-1"/>
          <w:szCs w:val="28"/>
        </w:rPr>
        <w:t>2018 года на 22,4 % (2018 г. - 43,1%);</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pacing w:val="-1"/>
          <w:szCs w:val="28"/>
        </w:rPr>
        <w:t>- у</w:t>
      </w:r>
      <w:r w:rsidRPr="00FE3AB0">
        <w:t>ровень обеспеченности граждан спортивными сооружениями исходя из единовременной пропускной способности объектов спорта составил 73,6 % и увеличился на 14,6 % к плановому значению на 2023 год и на 33,6 % к уровню 2018 года (2018 г. - 40%);</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pacing w:val="-1"/>
          <w:szCs w:val="28"/>
        </w:rPr>
      </w:pPr>
      <w:r w:rsidRPr="00FE3AB0">
        <w:rPr>
          <w:spacing w:val="-1"/>
          <w:szCs w:val="28"/>
        </w:rPr>
        <w:t>- динамика роста привлеченных инвалидов и лиц с ограниченными возможностями, для участия в соревнованиях и спортивных мероприятиях составила 12,6%, что соответствует плановому значению на 2023 год, и увеличилась на 0,7 % к</w:t>
      </w:r>
      <w:r w:rsidRPr="00FE3AB0">
        <w:rPr>
          <w:szCs w:val="28"/>
        </w:rPr>
        <w:t xml:space="preserve"> фактическому уровню </w:t>
      </w:r>
      <w:r w:rsidRPr="00FE3AB0">
        <w:rPr>
          <w:spacing w:val="-1"/>
          <w:szCs w:val="28"/>
        </w:rPr>
        <w:t>2018 года (2018 г. - 11,9 %);</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pacing w:val="-1"/>
          <w:szCs w:val="28"/>
        </w:rPr>
        <w:t>- к</w:t>
      </w:r>
      <w:r w:rsidRPr="00FE3AB0">
        <w:t>оличество штатных работников физической культуры и спорта в 2023 году составило 133 чел., что ниже планового значения на 21 чел. и выше уровня 2018 года на 73 человека (2018 г. - 60 чел.);</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pacing w:val="-1"/>
          <w:szCs w:val="28"/>
        </w:rPr>
      </w:pPr>
      <w:r w:rsidRPr="00FE3AB0">
        <w:rPr>
          <w:spacing w:val="-1"/>
          <w:szCs w:val="28"/>
        </w:rPr>
        <w:t>- количество муниципальных библиотек, подключенных к информационно - телекоммуникационной сети Интернет составило 25 единиц (100 %), что соответствует плановому значению на 2023 год и на 3 ед. больше факта 2018 года (2018 г. - 22/88 %);</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pacing w:val="-1"/>
          <w:szCs w:val="28"/>
        </w:rPr>
      </w:pPr>
      <w:r w:rsidRPr="00FE3AB0">
        <w:rPr>
          <w:spacing w:val="-1"/>
          <w:szCs w:val="28"/>
        </w:rPr>
        <w:t>- увеличилось число посещений культурных мероприятий на 119,71 ед. к плановому показателю 2023 года и составило – 1719,43 ед., и на 1341,03 ед. к факту 2018 года (2018 г. - 378,4);</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rPr>
          <w:spacing w:val="-1"/>
          <w:szCs w:val="28"/>
        </w:rPr>
      </w:pPr>
      <w:r w:rsidRPr="00FE3AB0">
        <w:rPr>
          <w:spacing w:val="-1"/>
          <w:szCs w:val="28"/>
        </w:rPr>
        <w:t xml:space="preserve">- снизилась доля детей, обучающихся в учреждениях дополнительного </w:t>
      </w:r>
      <w:r w:rsidRPr="00FE3AB0">
        <w:rPr>
          <w:spacing w:val="-1"/>
          <w:szCs w:val="28"/>
        </w:rPr>
        <w:lastRenderedPageBreak/>
        <w:t>образования культуры от общего количества детей школьного возраста к плановому значению 2023 года на 0,8 % и составила 6,1 % и на 1,1 % к уровню 2018 года (2018 г. - 7,2 %), в связи с дефицитом педагогических кадров. Справочно: не выполнение плановых показателей связано с дефицитом педагогических кадров в МБУ ДО «Детская музыкальная школа г. Новоалександровска». Более 50% педагогических работников это люди предпенсионного и пенсионного возраста, при этом педагогическая нагрузка составляет 2 ставки на человека;</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pacing w:val="-1"/>
          <w:szCs w:val="28"/>
        </w:rPr>
        <w:t>- д</w:t>
      </w:r>
      <w:r w:rsidRPr="00FE3AB0">
        <w:t>оля молодых граждан, проживающих на территории городского округа, задействованных в мероприятиях по реализации молодежной политики в городском округе, в общем количестве молодых граждан составила 55%, что выше планового значения на 2023 год на 5% и выше уровня 2018 года на 15% (2018 г. - 40%);</w:t>
      </w:r>
    </w:p>
    <w:p w:rsidR="00AA15BB" w:rsidRDefault="00FE3AB0" w:rsidP="00AA15BB">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t>- количество молодых граждан городского округа, участвующих в мероприятиях по патриотическому воспитанию детей и молодежи в 2023 году составила 500 чел, что выше планового значения на 2023 год и уровня 2018 года на 200 человек (2018г. - 300 чел.);</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t>- доля граждан, принимающих участие в волонтерском движении, в общем количестве молодых граждан составила 14 %, что выше планового значения на 2023 год и уровня 2018 года на 2% (2018 г. - 12 %);</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pacing w:val="-1"/>
          <w:szCs w:val="28"/>
        </w:rPr>
        <w:t>- ч</w:t>
      </w:r>
      <w:r w:rsidRPr="00FE3AB0">
        <w:t>исленность детей, вовлеченных в деятельность Всероссийского детско - юношеского военно - патриотического общественного движения "ЮНАРМИЯ" увеличилась на 0,6 тыс. чел. и составила 2 тыс. чел., что выше уровня 2018 года на 1,382 тыс. человек (2018 г. - 0,618 тыс. чел.);</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pacing w:val="-1"/>
          <w:szCs w:val="28"/>
        </w:rPr>
        <w:t xml:space="preserve">- доля </w:t>
      </w:r>
      <w:r w:rsidRPr="00FE3AB0">
        <w:rPr>
          <w:szCs w:val="28"/>
        </w:rPr>
        <w:t>детей в возрасте 5 - 18 лет, получающих услуги по дополнительному образованию в организациях различной организационно-правовой формы собственности, в общей численности детей данной</w:t>
      </w:r>
      <w:r w:rsidRPr="00FE3AB0">
        <w:rPr>
          <w:i/>
          <w:szCs w:val="28"/>
        </w:rPr>
        <w:t xml:space="preserve"> </w:t>
      </w:r>
      <w:r w:rsidRPr="00FE3AB0">
        <w:rPr>
          <w:szCs w:val="28"/>
        </w:rPr>
        <w:t>возрастной группы составила 76 %, что соответствует плановому показателю на 2023 год и выше уровня 2018 года на 1,6 % (2018г. - 74,4 %);</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zCs w:val="28"/>
        </w:rPr>
        <w:t>- к</w:t>
      </w:r>
      <w:r w:rsidRPr="00FE3AB0">
        <w:t>оличество общеобразовательных организаций, обновивших материально - техническую базу для реализации основных и дополнительных общеобразовательных программ цифрового, естественно-научного и гуманитарного профилей в 2023 году составило 13 ед., что на 1ед. больше планового значения на 2023 год. Справочно: в рамках реализации регионального проекта «Современная школа» национального проекта «Образование», в 2023 году открыты 2 центра естественнонаучной и технологической направленности «Точка роста»: в МОУ СОШ № 3 г. Новоалександровска и в МОУ СОШ № 8 ст. Кармалиновской.</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zCs w:val="28"/>
        </w:rPr>
        <w:t>- д</w:t>
      </w:r>
      <w:r w:rsidRPr="00FE3AB0">
        <w:t>оля общеобразовательных организаций, оснащенных в целях внедрения цифровой образовательной среды соответствует плановому значению на 2023 год и составляет 52,95 %;</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t xml:space="preserve">-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составило 37%, что соответствует плановому значению на 2023 год и выше уровня 2018 года на 9 % (2018г. - 28 </w:t>
      </w:r>
      <w:r w:rsidRPr="00FE3AB0">
        <w:lastRenderedPageBreak/>
        <w:t>%);</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color w:val="000000" w:themeColor="text1"/>
          <w:szCs w:val="28"/>
        </w:rPr>
      </w:pPr>
      <w:r w:rsidRPr="00FE3AB0">
        <w:rPr>
          <w:color w:val="000000" w:themeColor="text1"/>
          <w:szCs w:val="28"/>
        </w:rPr>
        <w:t xml:space="preserve">- уровень удовлетворенности населения городского округа качеством общего образования составило 74,5 %, </w:t>
      </w:r>
      <w:r w:rsidRPr="00FE3AB0">
        <w:rPr>
          <w:color w:val="000000" w:themeColor="text1"/>
          <w:spacing w:val="-1"/>
          <w:szCs w:val="28"/>
        </w:rPr>
        <w:t xml:space="preserve">плановое значение показателя на 2022 год выполнено на 100%, </w:t>
      </w:r>
      <w:r w:rsidRPr="00FE3AB0">
        <w:rPr>
          <w:color w:val="000000" w:themeColor="text1"/>
          <w:szCs w:val="28"/>
        </w:rPr>
        <w:t>к 2018 году</w:t>
      </w:r>
      <w:r w:rsidRPr="00FE3AB0">
        <w:rPr>
          <w:color w:val="000000" w:themeColor="text1"/>
          <w:spacing w:val="-1"/>
          <w:szCs w:val="28"/>
        </w:rPr>
        <w:t xml:space="preserve"> </w:t>
      </w:r>
      <w:r w:rsidRPr="00FE3AB0">
        <w:rPr>
          <w:color w:val="000000" w:themeColor="text1"/>
          <w:szCs w:val="28"/>
        </w:rPr>
        <w:t>увеличение составило 4,5 % (2018 г. – 70 %);</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color w:val="000000"/>
          <w:szCs w:val="28"/>
        </w:rPr>
      </w:pPr>
      <w:r w:rsidRPr="00FE3AB0">
        <w:rPr>
          <w:szCs w:val="28"/>
        </w:rPr>
        <w:t>- д</w:t>
      </w:r>
      <w:r w:rsidRPr="00FE3AB0">
        <w:rPr>
          <w:color w:val="000000"/>
          <w:szCs w:val="28"/>
        </w:rPr>
        <w:t>оля граждан, которым предоставлены меры социальной поддержки, в общей численности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 100 %;</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color w:val="000000"/>
          <w:szCs w:val="28"/>
        </w:rPr>
        <w:t>- д</w:t>
      </w:r>
      <w:r w:rsidRPr="00FE3AB0">
        <w:t>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достигла 93,5 %, при плане на 2023 год - 62 % и увеличилась к 2018 году на 51% (2018 г. -42,5 %);</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составила 5,7 % и увеличилась к планируемому показателю на 2023 год на 0,2 %;</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pPr>
      <w:r w:rsidRPr="00FE3AB0">
        <w:rPr>
          <w:szCs w:val="28"/>
        </w:rPr>
        <w:t>- д</w:t>
      </w:r>
      <w:r w:rsidRPr="00FE3AB0">
        <w:t>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в 2023 году составила 56,2 %, что выше планируемого показателя на 2023 год на 11,5 %; и выше показателя 2018 года на 11,6 % (2018 г. - 44,6%);</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rFonts w:eastAsia="Arial Unicode MS"/>
          <w:kern w:val="1"/>
          <w:lang w:eastAsia="hi-IN" w:bidi="hi-IN"/>
        </w:rPr>
      </w:pPr>
      <w:r w:rsidRPr="00FE3AB0">
        <w:t xml:space="preserve">- обьем жилищного строительства составил 9,23 тыс. </w:t>
      </w:r>
      <w:r w:rsidRPr="00FE3AB0">
        <w:rPr>
          <w:rFonts w:eastAsia="Arial Unicode MS"/>
          <w:kern w:val="1"/>
          <w:lang w:eastAsia="hi-IN" w:bidi="hi-IN"/>
        </w:rPr>
        <w:t>м</w:t>
      </w:r>
      <w:r w:rsidRPr="00FE3AB0">
        <w:rPr>
          <w:rFonts w:eastAsia="Arial Unicode MS"/>
          <w:kern w:val="1"/>
          <w:vertAlign w:val="superscript"/>
          <w:lang w:eastAsia="hi-IN" w:bidi="hi-IN"/>
        </w:rPr>
        <w:t xml:space="preserve">2 </w:t>
      </w:r>
      <w:r w:rsidRPr="00FE3AB0">
        <w:rPr>
          <w:rFonts w:eastAsia="Arial Unicode MS"/>
          <w:kern w:val="1"/>
          <w:lang w:eastAsia="hi-IN" w:bidi="hi-IN"/>
        </w:rPr>
        <w:t xml:space="preserve">и увеличился на 2,03 </w:t>
      </w:r>
      <w:r w:rsidRPr="00FE3AB0">
        <w:t xml:space="preserve">тыс. </w:t>
      </w:r>
      <w:r w:rsidRPr="00FE3AB0">
        <w:rPr>
          <w:rFonts w:eastAsia="Arial Unicode MS"/>
          <w:kern w:val="1"/>
          <w:lang w:eastAsia="hi-IN" w:bidi="hi-IN"/>
        </w:rPr>
        <w:t>м</w:t>
      </w:r>
      <w:r w:rsidRPr="00FE3AB0">
        <w:rPr>
          <w:rFonts w:eastAsia="Arial Unicode MS"/>
          <w:kern w:val="1"/>
          <w:vertAlign w:val="superscript"/>
          <w:lang w:eastAsia="hi-IN" w:bidi="hi-IN"/>
        </w:rPr>
        <w:t xml:space="preserve">2 </w:t>
      </w:r>
      <w:r w:rsidRPr="00FE3AB0">
        <w:rPr>
          <w:rFonts w:eastAsia="Arial Unicode MS"/>
          <w:kern w:val="1"/>
          <w:lang w:eastAsia="hi-IN" w:bidi="hi-IN"/>
        </w:rPr>
        <w:t xml:space="preserve">к плану на 2023 год, но ниже уровня 2018 года на 0,17 </w:t>
      </w:r>
      <w:r w:rsidRPr="00FE3AB0">
        <w:t xml:space="preserve">тыс. </w:t>
      </w:r>
      <w:r w:rsidRPr="00FE3AB0">
        <w:rPr>
          <w:rFonts w:eastAsia="Arial Unicode MS"/>
          <w:kern w:val="1"/>
          <w:lang w:eastAsia="hi-IN" w:bidi="hi-IN"/>
        </w:rPr>
        <w:t>м</w:t>
      </w:r>
      <w:r w:rsidRPr="00FE3AB0">
        <w:rPr>
          <w:rFonts w:eastAsia="Arial Unicode MS"/>
          <w:kern w:val="1"/>
          <w:vertAlign w:val="superscript"/>
          <w:lang w:eastAsia="hi-IN" w:bidi="hi-IN"/>
        </w:rPr>
        <w:t xml:space="preserve">2 </w:t>
      </w:r>
      <w:r w:rsidRPr="00FE3AB0">
        <w:rPr>
          <w:rFonts w:eastAsia="Arial Unicode MS"/>
          <w:kern w:val="1"/>
          <w:lang w:eastAsia="hi-IN" w:bidi="hi-IN"/>
        </w:rPr>
        <w:t xml:space="preserve">(2018 г. - 9,4 </w:t>
      </w:r>
      <w:r w:rsidRPr="00FE3AB0">
        <w:t xml:space="preserve">тыс. </w:t>
      </w:r>
      <w:r w:rsidRPr="00FE3AB0">
        <w:rPr>
          <w:rFonts w:eastAsia="Arial Unicode MS"/>
          <w:kern w:val="1"/>
          <w:lang w:eastAsia="hi-IN" w:bidi="hi-IN"/>
        </w:rPr>
        <w:t>м</w:t>
      </w:r>
      <w:r w:rsidRPr="00FE3AB0">
        <w:rPr>
          <w:rFonts w:eastAsia="Arial Unicode MS"/>
          <w:kern w:val="1"/>
          <w:vertAlign w:val="superscript"/>
          <w:lang w:eastAsia="hi-IN" w:bidi="hi-IN"/>
        </w:rPr>
        <w:t>2</w:t>
      </w:r>
      <w:r w:rsidRPr="00FE3AB0">
        <w:rPr>
          <w:rFonts w:eastAsia="Arial Unicode MS"/>
          <w:kern w:val="1"/>
          <w:lang w:eastAsia="hi-IN" w:bidi="hi-IN"/>
        </w:rPr>
        <w:t>);</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 общая площадь жилых помещений, приходящаяся в среднем на 1 жителя в 2023 году составила 25,7 м</w:t>
      </w:r>
      <w:r w:rsidRPr="00FE3AB0">
        <w:rPr>
          <w:szCs w:val="28"/>
          <w:vertAlign w:val="superscript"/>
        </w:rPr>
        <w:t>2</w:t>
      </w:r>
      <w:r w:rsidRPr="00FE3AB0">
        <w:rPr>
          <w:szCs w:val="28"/>
        </w:rPr>
        <w:t>, что соответствует плановому значению на 2023 год и выше уровня 2018 года на 1,6 м</w:t>
      </w:r>
      <w:r w:rsidRPr="00FE3AB0">
        <w:rPr>
          <w:szCs w:val="28"/>
          <w:vertAlign w:val="superscript"/>
        </w:rPr>
        <w:t xml:space="preserve">2 </w:t>
      </w:r>
      <w:r w:rsidRPr="00FE3AB0">
        <w:rPr>
          <w:szCs w:val="28"/>
        </w:rPr>
        <w:t>(2018г. – 24,1 м</w:t>
      </w:r>
      <w:r w:rsidRPr="00FE3AB0">
        <w:rPr>
          <w:szCs w:val="28"/>
          <w:vertAlign w:val="superscript"/>
        </w:rPr>
        <w:t>2</w:t>
      </w:r>
      <w:r w:rsidRPr="00FE3AB0">
        <w:rPr>
          <w:szCs w:val="28"/>
        </w:rPr>
        <w:t>);</w:t>
      </w:r>
    </w:p>
    <w:p w:rsidR="00B7715C"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 уровень газификации населенных пунктов составил 95,12 %, не газифицирован поселок Кармалиновский и хутор Петровский;</w:t>
      </w:r>
    </w:p>
    <w:p w:rsidR="00FE3AB0" w:rsidRPr="00FE3AB0" w:rsidRDefault="00FE3AB0" w:rsidP="00B7715C">
      <w:pPr>
        <w:widowControl w:val="0"/>
        <w:pBdr>
          <w:top w:val="single" w:sz="4" w:space="1" w:color="FFFFFF"/>
          <w:left w:val="single" w:sz="4" w:space="0" w:color="FFFFFF"/>
          <w:bottom w:val="single" w:sz="4" w:space="29" w:color="FFFFFF"/>
          <w:right w:val="single" w:sz="4" w:space="1" w:color="FFFFFF"/>
        </w:pBdr>
        <w:ind w:firstLine="567"/>
        <w:contextualSpacing/>
        <w:jc w:val="both"/>
        <w:rPr>
          <w:szCs w:val="28"/>
        </w:rPr>
      </w:pPr>
      <w:r w:rsidRPr="00FE3AB0">
        <w:rPr>
          <w:szCs w:val="28"/>
        </w:rPr>
        <w:t>- доля населенных пунктов, обеспеченных питьевой водой надлежащего качества составила 95,2 %, при плане на 2023 год - 80,49 %. В рамках реализация инвестиционного проекта «Строительство межпоселкового водопровода «Восточный» в Новоалександровском городском округе Ставропольского края», общей протяженность водопровода 38 км, в 2023 году п</w:t>
      </w:r>
      <w:r w:rsidRPr="00FE3AB0">
        <w:t>роведена организационная работа по переподключению абонентов, для обеспечения водоснабжением: пос. Присадовый, пос. Ударный, пос. Кармалиновский, пос. Светлый, пос. Встречный, х. Мокрая Балка. Поселки Крутобалковский и Виноградный переподключат после их передачи в зону ответственности ГУП СК Ставрополькрайводоканала.</w:t>
      </w:r>
    </w:p>
    <w:p w:rsidR="00FE3AB0" w:rsidRPr="00FE3AB0" w:rsidRDefault="00FE3AB0" w:rsidP="00AA15BB">
      <w:pPr>
        <w:ind w:firstLine="567"/>
        <w:jc w:val="both"/>
        <w:rPr>
          <w:szCs w:val="28"/>
        </w:rPr>
      </w:pPr>
      <w:r w:rsidRPr="00FE3AB0">
        <w:rPr>
          <w:szCs w:val="28"/>
        </w:rPr>
        <w:lastRenderedPageBreak/>
        <w:t>- доля объектов общего имущества многоквартирных домов, по которым выполнены работы по капитальному ремонту в общем количестве объектов общего имущества многоквартирных домов, требующих капитального ремонта в 2023 году составила 45,0 % и увеличилась как к плановому значению 2023 г. на 2 %, и к уровню 2018 года на 7 % (2018 г. - 38 %);</w:t>
      </w:r>
    </w:p>
    <w:p w:rsidR="00FE3AB0" w:rsidRPr="00FE3AB0" w:rsidRDefault="00FE3AB0" w:rsidP="00AA15BB">
      <w:pPr>
        <w:ind w:firstLine="567"/>
        <w:jc w:val="both"/>
        <w:rPr>
          <w:szCs w:val="28"/>
        </w:rPr>
      </w:pPr>
      <w:r w:rsidRPr="00FE3AB0">
        <w:rPr>
          <w:szCs w:val="28"/>
        </w:rPr>
        <w:t>- уровень охвата централизованным сбором коммунальных бытовых отходов населенных пунктов городского округа в 2023 году составил 100%, что соответствует плановому значению на 2023 год и увеличился на 50 % к 2018 году (2018г. - 50 %);</w:t>
      </w:r>
    </w:p>
    <w:p w:rsidR="00FE3AB0" w:rsidRPr="00FE3AB0" w:rsidRDefault="00FE3AB0" w:rsidP="00AA15BB">
      <w:pPr>
        <w:ind w:firstLine="567"/>
        <w:jc w:val="both"/>
        <w:rPr>
          <w:szCs w:val="28"/>
        </w:rPr>
      </w:pPr>
      <w:r w:rsidRPr="00FE3AB0">
        <w:rPr>
          <w:szCs w:val="28"/>
        </w:rPr>
        <w:t xml:space="preserve">- </w:t>
      </w:r>
      <w:r w:rsidRPr="00FE3AB0">
        <w:t xml:space="preserve">увеличение протяженности автомобильных дорог общего пользования, находящихся в собственности городского округа, соответствующих нормативным требованиям транспортно-эксплуатационных показателей в общей протяженности автомобильных дорог общего пользования, находящихся в собственности, в результате работ по текущему ремонту и содержанию городского округа, вне границ населенных пунктов </w:t>
      </w:r>
      <w:r w:rsidRPr="00FE3AB0">
        <w:rPr>
          <w:szCs w:val="28"/>
        </w:rPr>
        <w:t>за 2023 год составила 108,1 км, что соответствует плановому значению на 2023 год, и выше уровня 2018 года на 11,3 км (2018 г. - 96,8 км);</w:t>
      </w:r>
    </w:p>
    <w:p w:rsidR="00FE3AB0" w:rsidRPr="00FE3AB0" w:rsidRDefault="00FE3AB0" w:rsidP="00AA15BB">
      <w:pPr>
        <w:ind w:firstLine="567"/>
        <w:jc w:val="both"/>
      </w:pPr>
      <w:r w:rsidRPr="00FE3AB0">
        <w:rPr>
          <w:szCs w:val="28"/>
        </w:rPr>
        <w:t>- д</w:t>
      </w:r>
      <w:r w:rsidRPr="00FE3AB0">
        <w:t>оля автомобильных дорог местного значения, соответствующих нормативным требованиям за 2023 год составила 58,4 %, что на 9,7 % больше запланированного показателя на 2023 год и выше показателя 2018 года на 17 % (2018г. – 41,4 %);</w:t>
      </w:r>
    </w:p>
    <w:p w:rsidR="00FE3AB0" w:rsidRPr="00FE3AB0" w:rsidRDefault="00FE3AB0" w:rsidP="00AA15BB">
      <w:pPr>
        <w:ind w:firstLine="567"/>
        <w:jc w:val="both"/>
        <w:rPr>
          <w:szCs w:val="28"/>
        </w:rPr>
      </w:pPr>
      <w:r w:rsidRPr="00FE3AB0">
        <w:rPr>
          <w:szCs w:val="28"/>
        </w:rPr>
        <w:t>- о</w:t>
      </w:r>
      <w:r w:rsidRPr="00FE3AB0">
        <w:t>бщая протяженность автомобильных дорог общего пользования, соответствующих нормативным требованиям к транспортно- эксплуатационным показателям, по состоянию на 31 декабря 2023 года составила 329,7 км и увеличилась на 54,7 км к планируемому показателю на 2023 год и на 96,52 км к показателю 2018 года (2018 г. - 233,18 км);</w:t>
      </w:r>
    </w:p>
    <w:p w:rsidR="00FE3AB0" w:rsidRPr="00FE3AB0" w:rsidRDefault="00FE3AB0" w:rsidP="00AA15BB">
      <w:pPr>
        <w:ind w:firstLine="708"/>
        <w:jc w:val="both"/>
        <w:rPr>
          <w:color w:val="000000" w:themeColor="text1"/>
          <w:szCs w:val="28"/>
          <w:shd w:val="clear" w:color="auto" w:fill="FFFFFF"/>
        </w:rPr>
      </w:pPr>
      <w:r w:rsidRPr="00FE3AB0">
        <w:rPr>
          <w:color w:val="000000" w:themeColor="text1"/>
          <w:szCs w:val="28"/>
          <w:shd w:val="clear" w:color="auto" w:fill="FFFFFF"/>
        </w:rPr>
        <w:t>- доля протяженности сетей уличного освещения, режим работы которых оптимизирован путем внедрения автоматизированных систем контроля времени, в отношении к общей протяженности осветительной сети составила 78,91 %, что выше планового значения на 2023 год на 1 % и выше уровня 2018 года на 27,91 % (2018г. - 51 %);</w:t>
      </w:r>
    </w:p>
    <w:p w:rsidR="00FE3AB0" w:rsidRPr="00FE3AB0" w:rsidRDefault="00FE3AB0" w:rsidP="00AA15BB">
      <w:pPr>
        <w:suppressAutoHyphens w:val="0"/>
        <w:ind w:firstLine="567"/>
        <w:jc w:val="both"/>
      </w:pPr>
      <w:r w:rsidRPr="00FE3AB0">
        <w:rPr>
          <w:szCs w:val="28"/>
          <w:shd w:val="clear" w:color="auto" w:fill="FFFFFF"/>
        </w:rPr>
        <w:t>- д</w:t>
      </w:r>
      <w:r w:rsidRPr="00FE3AB0">
        <w:rPr>
          <w:szCs w:val="28"/>
        </w:rPr>
        <w:t>оля площади территорий общего пользования, благоустроенных в рамках проекта «Комфортная городская среда» от общего количества общественных территорий, нуждающихся в благоустройстве в 2023 году составила 77 %, что выше планового значения на 2023 год на 4,4 % и выше уровня 2018 года на 64,6 % (2018г. -12,4 %)</w:t>
      </w:r>
      <w:r w:rsidRPr="00FE3AB0">
        <w:t>;</w:t>
      </w:r>
    </w:p>
    <w:p w:rsidR="00FE3AB0" w:rsidRPr="00FE3AB0" w:rsidRDefault="00FE3AB0" w:rsidP="00AA15BB">
      <w:pPr>
        <w:ind w:firstLine="708"/>
        <w:jc w:val="both"/>
        <w:rPr>
          <w:szCs w:val="28"/>
        </w:rPr>
      </w:pPr>
      <w:r w:rsidRPr="00FE3AB0">
        <w:rPr>
          <w:szCs w:val="28"/>
        </w:rPr>
        <w:t>- доля муниципальных объектов социальной сферы, оснащенных аппаратно - программными системами видеонаблюдения составила 97 %, что соответствует плановому значению на 2023 год, и выше уровня 2018 года на 4 % (2018 г. – 93 %).</w:t>
      </w:r>
    </w:p>
    <w:p w:rsidR="00B7715C" w:rsidRDefault="00FE3AB0" w:rsidP="00AA15BB">
      <w:pPr>
        <w:ind w:firstLine="708"/>
        <w:jc w:val="both"/>
        <w:rPr>
          <w:szCs w:val="28"/>
        </w:rPr>
      </w:pPr>
      <w:r w:rsidRPr="00FE3AB0">
        <w:rPr>
          <w:szCs w:val="28"/>
        </w:rPr>
        <w:t>- уровень соответствия объектов муниципальных учреждений согласно установленным техническим регламентам составил 100 %, что соответствует плановому значению на 2023 год и уровню 2018 года;</w:t>
      </w:r>
    </w:p>
    <w:p w:rsidR="00FE3AB0" w:rsidRPr="00FE3AB0" w:rsidRDefault="00FE3AB0" w:rsidP="00AA15BB">
      <w:pPr>
        <w:ind w:firstLine="708"/>
        <w:jc w:val="both"/>
      </w:pPr>
      <w:r w:rsidRPr="00FE3AB0">
        <w:rPr>
          <w:szCs w:val="28"/>
        </w:rPr>
        <w:lastRenderedPageBreak/>
        <w:t>- у</w:t>
      </w:r>
      <w:r w:rsidRPr="00FE3AB0">
        <w:t>ровень реагирования сил и средств системы предупреждения и ликвидации чрезвычайных ситуаций городского округа в 2023 году составил 100 %, при плане на 2023 год – 65 % (2018 г. - 55 %);</w:t>
      </w:r>
    </w:p>
    <w:p w:rsidR="00FE3AB0" w:rsidRPr="00FE3AB0" w:rsidRDefault="00FE3AB0" w:rsidP="00AA15BB">
      <w:pPr>
        <w:ind w:firstLine="708"/>
        <w:jc w:val="both"/>
        <w:rPr>
          <w:szCs w:val="28"/>
        </w:rPr>
      </w:pPr>
      <w:r w:rsidRPr="00FE3AB0">
        <w:t>- доля населения, использующих механизм получения государственных и муниципальных услуг в электронной форме составила 68,2 % и увеличилась к плановому значению на 2023 год на 0,2 % и к уровню 2018 года на 57,17 % (2018 г. - 11,03 %);</w:t>
      </w:r>
    </w:p>
    <w:p w:rsidR="00FE3AB0" w:rsidRPr="00FE3AB0" w:rsidRDefault="00FE3AB0" w:rsidP="00AA15BB">
      <w:pPr>
        <w:ind w:firstLine="708"/>
        <w:jc w:val="both"/>
        <w:rPr>
          <w:rFonts w:eastAsia="Calibri"/>
          <w:szCs w:val="28"/>
        </w:rPr>
      </w:pPr>
      <w:r w:rsidRPr="00FE3AB0">
        <w:rPr>
          <w:szCs w:val="28"/>
        </w:rPr>
        <w:t>Достижению поставленной стратегической цели «</w:t>
      </w:r>
      <w:r w:rsidRPr="00FE3AB0">
        <w:t>Развитие конкурентоспособной экономики инновационного типа, достойный эффективный труд и успешное предпринимательство</w:t>
      </w:r>
      <w:r w:rsidRPr="00FE3AB0">
        <w:rPr>
          <w:szCs w:val="28"/>
        </w:rPr>
        <w:t>» способствовало решение 5 основных задач.</w:t>
      </w:r>
    </w:p>
    <w:p w:rsidR="00FE3AB0" w:rsidRPr="00FE3AB0" w:rsidRDefault="00FE3AB0" w:rsidP="00AA15BB">
      <w:pPr>
        <w:ind w:firstLine="567"/>
        <w:jc w:val="both"/>
        <w:rPr>
          <w:szCs w:val="28"/>
        </w:rPr>
      </w:pPr>
      <w:r w:rsidRPr="00FE3AB0">
        <w:rPr>
          <w:szCs w:val="28"/>
        </w:rPr>
        <w:t>Выполнение основных целевых показателей стратегической цели «</w:t>
      </w:r>
      <w:r w:rsidRPr="00FE3AB0">
        <w:t>Развитие конкурентоспособной экономики инновационного типа, достойный эффективный труд и успешное предпринимательство</w:t>
      </w:r>
      <w:r w:rsidRPr="00FE3AB0">
        <w:rPr>
          <w:szCs w:val="28"/>
        </w:rPr>
        <w:t>»:</w:t>
      </w:r>
    </w:p>
    <w:p w:rsidR="00FE3AB0" w:rsidRPr="00FE3AB0" w:rsidRDefault="00FE3AB0" w:rsidP="00AA15BB">
      <w:pPr>
        <w:ind w:firstLine="567"/>
        <w:jc w:val="both"/>
        <w:rPr>
          <w:szCs w:val="28"/>
        </w:rPr>
      </w:pPr>
      <w:r w:rsidRPr="00FE3AB0">
        <w:rPr>
          <w:szCs w:val="28"/>
        </w:rPr>
        <w:t>- произведено продукции сельского хозяйства в 2023 году на сумму 20259,2 млн. рублей, что выше планового значения на 2023 год на 8159,2 млн. рублей, и выше уровня 2018 года на 8444,2 млн. рублей (2018 г. - 11815 млн. руб.);</w:t>
      </w:r>
    </w:p>
    <w:p w:rsidR="00FE3AB0" w:rsidRPr="00FE3AB0" w:rsidRDefault="00FE3AB0" w:rsidP="00AA15BB">
      <w:pPr>
        <w:ind w:firstLine="567"/>
        <w:jc w:val="both"/>
        <w:rPr>
          <w:szCs w:val="28"/>
        </w:rPr>
      </w:pPr>
      <w:r w:rsidRPr="00FE3AB0">
        <w:rPr>
          <w:szCs w:val="28"/>
        </w:rPr>
        <w:t xml:space="preserve">- темп роста отгруженных товаров собственного производства, выполненных работ и услуг собственными силами по виду деятельности «Промышленность» в 2023 году составил 92,8 %, что ниже планового показателя на 15,5 % и уровня 2018 года на 31,3 % (2018 г. – 124,1 %); Справочно: в августе месяце 2023 года приостановлена деятельность ООО СХП «Югроспром», </w:t>
      </w:r>
      <w:r w:rsidRPr="00FE3AB0">
        <w:rPr>
          <w:bCs/>
        </w:rPr>
        <w:t>остановлена работа 7 цехов, что так же отразилось на снижении выпускаемой продукции</w:t>
      </w:r>
      <w:r w:rsidRPr="00FE3AB0">
        <w:rPr>
          <w:szCs w:val="28"/>
        </w:rPr>
        <w:t>;</w:t>
      </w:r>
    </w:p>
    <w:p w:rsidR="00FE3AB0" w:rsidRPr="00FE3AB0" w:rsidRDefault="00FE3AB0" w:rsidP="00AA15BB">
      <w:pPr>
        <w:ind w:firstLine="567"/>
        <w:jc w:val="both"/>
        <w:rPr>
          <w:szCs w:val="28"/>
        </w:rPr>
      </w:pPr>
      <w:r w:rsidRPr="00FE3AB0">
        <w:rPr>
          <w:szCs w:val="28"/>
        </w:rPr>
        <w:t>- прирост компаний экспортеров из числа малого и среднего предпринимательства по итогам внедрения Регионального экспортного стандарта 2.0 (с нарастающим итогом) в 2023 году составил 2 ед., что ниже планового значения на 2023 год на 2 единицы, увеличение к 2018 году на 1 ед. (2018 г. - 1 ед.). В связи с введенными санкциями в 2023 году не осуществляло экспортную деятельность предприятие КФХ Колесников А.П., а так же в августе месяце 2023 года приостановлена деятельность ООО СХП «Югроспром»), Справочно: предприятиями экспортерами в 2023 году являются: ООО «Райффайзен Агро», ООО Агрофирма «Станица»;</w:t>
      </w:r>
    </w:p>
    <w:p w:rsidR="00FE3AB0" w:rsidRPr="00FE3AB0" w:rsidRDefault="00FE3AB0" w:rsidP="00AA15BB">
      <w:pPr>
        <w:ind w:firstLine="708"/>
        <w:jc w:val="both"/>
        <w:rPr>
          <w:szCs w:val="28"/>
        </w:rPr>
      </w:pPr>
      <w:r w:rsidRPr="00FE3AB0">
        <w:rPr>
          <w:szCs w:val="28"/>
        </w:rPr>
        <w:t>- количество средних и крупных предприятий, базовых не сырьевых отраслей экономики, вовлеченных в национальный проект «Производительность труда и поддержка занятости» (с нарастающим итогом) в 2023 году составило - 2 предприятия: ООО СХП «Югроспром» и СПК колхоз «Родина» и осталось на уровне 2020 года;</w:t>
      </w:r>
    </w:p>
    <w:p w:rsidR="00FE3AB0" w:rsidRPr="00FE3AB0" w:rsidRDefault="00FE3AB0" w:rsidP="00AA15BB">
      <w:pPr>
        <w:ind w:firstLine="708"/>
        <w:jc w:val="both"/>
        <w:rPr>
          <w:color w:val="000000" w:themeColor="text1"/>
          <w:szCs w:val="28"/>
        </w:rPr>
      </w:pPr>
      <w:r w:rsidRPr="00FE3AB0">
        <w:rPr>
          <w:color w:val="000000" w:themeColor="text1"/>
          <w:szCs w:val="28"/>
        </w:rPr>
        <w:t>- количество высокопроизводительных рабочих мест во внебюджетном секторе экономики</w:t>
      </w:r>
      <w:r w:rsidRPr="00FE3AB0">
        <w:rPr>
          <w:color w:val="000000" w:themeColor="text1"/>
          <w:sz w:val="24"/>
        </w:rPr>
        <w:t xml:space="preserve"> </w:t>
      </w:r>
      <w:r w:rsidRPr="00FE3AB0">
        <w:rPr>
          <w:color w:val="000000" w:themeColor="text1"/>
          <w:szCs w:val="28"/>
        </w:rPr>
        <w:t>в 2023 году составило 5281 чел., что выше планового значения на 6 чел., а также увеличилось к 2018 году на 1395 человек (2018 г. – 3886 чел.);</w:t>
      </w:r>
    </w:p>
    <w:p w:rsidR="00FE3AB0" w:rsidRPr="00FE3AB0" w:rsidRDefault="00FE3AB0" w:rsidP="00AA15BB">
      <w:pPr>
        <w:ind w:firstLine="708"/>
        <w:jc w:val="both"/>
        <w:rPr>
          <w:szCs w:val="28"/>
        </w:rPr>
      </w:pPr>
      <w:r w:rsidRPr="00FE3AB0">
        <w:rPr>
          <w:szCs w:val="28"/>
        </w:rPr>
        <w:t xml:space="preserve">- объем инвестиций в основной капитал по полному кругу учета организаций в 2023 году составил 5392,2 млн. рублей, что ниже планового </w:t>
      </w:r>
      <w:r w:rsidRPr="00FE3AB0">
        <w:rPr>
          <w:szCs w:val="28"/>
        </w:rPr>
        <w:lastRenderedPageBreak/>
        <w:t>значения на 2023 года на 182,6 млн. рублей и выше уровня 2018 года на 2262,2 млн. рублей (2018 г. – 3130 млн. руб.);</w:t>
      </w:r>
    </w:p>
    <w:p w:rsidR="00FE3AB0" w:rsidRPr="00FE3AB0" w:rsidRDefault="00FE3AB0" w:rsidP="00AA15BB">
      <w:pPr>
        <w:ind w:firstLine="708"/>
        <w:jc w:val="both"/>
        <w:rPr>
          <w:szCs w:val="28"/>
        </w:rPr>
      </w:pPr>
      <w:r w:rsidRPr="00FE3AB0">
        <w:rPr>
          <w:szCs w:val="28"/>
        </w:rPr>
        <w:t>- объем инвестиций в основной капитал (по крупным и средним организациям) в 2023 году составил 2985,9 млн. рублей, что ниже планового значения на 2023 год на 914,1 млн. руб., но выше уровня 2018 года на 1356,5 млн. рублей (2018 г. – 1629,4 млн. руб.);</w:t>
      </w:r>
    </w:p>
    <w:p w:rsidR="00FE3AB0" w:rsidRPr="00FE3AB0" w:rsidRDefault="00FE3AB0" w:rsidP="00AA15BB">
      <w:pPr>
        <w:ind w:firstLine="708"/>
        <w:jc w:val="both"/>
        <w:rPr>
          <w:color w:val="000000"/>
          <w:szCs w:val="28"/>
        </w:rPr>
      </w:pPr>
      <w:r w:rsidRPr="00FE3AB0">
        <w:rPr>
          <w:szCs w:val="28"/>
        </w:rPr>
        <w:t>- с</w:t>
      </w:r>
      <w:r w:rsidRPr="00FE3AB0">
        <w:rPr>
          <w:color w:val="000000"/>
          <w:szCs w:val="28"/>
        </w:rPr>
        <w:t>реднемесячная заработная плата работников крупных и средних организаций составила 46012,6 рублей и увеличилась к плановому значению на 2023 год на 7148,6 рублей и на 17592,6 рублей к уровню 2018 года (2018 г. – 28420 руб.);</w:t>
      </w:r>
    </w:p>
    <w:p w:rsidR="00FE3AB0" w:rsidRPr="00FE3AB0" w:rsidRDefault="00FE3AB0" w:rsidP="00AA15BB">
      <w:pPr>
        <w:ind w:firstLine="708"/>
        <w:jc w:val="both"/>
        <w:rPr>
          <w:szCs w:val="28"/>
        </w:rPr>
      </w:pPr>
      <w:r w:rsidRPr="00FE3AB0">
        <w:rPr>
          <w:color w:val="000000"/>
          <w:szCs w:val="28"/>
        </w:rPr>
        <w:t>- т</w:t>
      </w:r>
      <w:r w:rsidRPr="00FE3AB0">
        <w:rPr>
          <w:szCs w:val="28"/>
        </w:rPr>
        <w:t>емп роста среднемесячной заработной платы работников крупных и средних организаций в 2023 году составил 110,1 % и увеличился к плановому значению на 2023 год на 3,1 %, но снизился к уровню 2018 года на 9,5 % (2018 г. - 119,6 %);</w:t>
      </w:r>
    </w:p>
    <w:p w:rsidR="00FE3AB0" w:rsidRPr="00FE3AB0" w:rsidRDefault="00FE3AB0" w:rsidP="00AA15BB">
      <w:pPr>
        <w:ind w:firstLine="708"/>
        <w:jc w:val="both"/>
        <w:rPr>
          <w:szCs w:val="28"/>
        </w:rPr>
      </w:pPr>
      <w:r w:rsidRPr="00FE3AB0">
        <w:rPr>
          <w:szCs w:val="28"/>
        </w:rPr>
        <w:t>- р</w:t>
      </w:r>
      <w:r w:rsidRPr="00FE3AB0">
        <w:rPr>
          <w:color w:val="000000"/>
        </w:rPr>
        <w:t>еальный темп роста социальных выплат составил 104,8 %, что соответствует плановому значению на 2023 год и выше уровня 2018 года на 4,8 % (2018 г. - 100 %);</w:t>
      </w:r>
    </w:p>
    <w:p w:rsidR="00FE3AB0" w:rsidRPr="00FE3AB0" w:rsidRDefault="00FE3AB0" w:rsidP="00AA15BB">
      <w:pPr>
        <w:tabs>
          <w:tab w:val="left" w:pos="851"/>
        </w:tabs>
        <w:autoSpaceDE w:val="0"/>
        <w:autoSpaceDN w:val="0"/>
        <w:adjustRightInd w:val="0"/>
        <w:ind w:right="105" w:firstLine="720"/>
        <w:jc w:val="both"/>
        <w:rPr>
          <w:rFonts w:eastAsia="Arial Unicode MS" w:cs="Mangal"/>
          <w:kern w:val="1"/>
          <w:lang w:eastAsia="hi-IN" w:bidi="hi-IN"/>
        </w:rPr>
      </w:pPr>
      <w:r w:rsidRPr="00FE3AB0">
        <w:rPr>
          <w:szCs w:val="28"/>
        </w:rPr>
        <w:t>- у</w:t>
      </w:r>
      <w:r w:rsidRPr="00FE3AB0">
        <w:rPr>
          <w:color w:val="000000"/>
          <w:szCs w:val="28"/>
        </w:rPr>
        <w:t xml:space="preserve">ровень зарегистрированной безработицы </w:t>
      </w:r>
      <w:r w:rsidRPr="00FE3AB0">
        <w:t xml:space="preserve">к экономически - активному населению </w:t>
      </w:r>
      <w:r w:rsidRPr="00FE3AB0">
        <w:rPr>
          <w:color w:val="000000"/>
          <w:szCs w:val="28"/>
        </w:rPr>
        <w:t>на конец 2023 года составил</w:t>
      </w:r>
      <w:r w:rsidRPr="00FE3AB0">
        <w:t xml:space="preserve"> 0,4 %, что ниже планового значения на 2023 год на 0,3 % (положительная динамика - снижается уровень безработицы), но выше уровня 2018 года на 0,1 % (2018 г. – 0,3 %), </w:t>
      </w:r>
      <w:r w:rsidRPr="00FE3AB0">
        <w:rPr>
          <w:rFonts w:eastAsia="Arial Unicode MS" w:cs="Mangal"/>
          <w:kern w:val="1"/>
          <w:lang w:eastAsia="hi-IN" w:bidi="hi-IN"/>
        </w:rPr>
        <w:t>и ниже среднекраевого на 0,1 %, по Ставропольскому краю - 0,5 %;</w:t>
      </w:r>
    </w:p>
    <w:p w:rsidR="00FE3AB0" w:rsidRPr="00FE3AB0" w:rsidRDefault="00FE3AB0" w:rsidP="00AA15BB">
      <w:pPr>
        <w:tabs>
          <w:tab w:val="left" w:pos="851"/>
        </w:tabs>
        <w:autoSpaceDE w:val="0"/>
        <w:autoSpaceDN w:val="0"/>
        <w:adjustRightInd w:val="0"/>
        <w:ind w:right="105" w:firstLine="720"/>
        <w:jc w:val="both"/>
        <w:rPr>
          <w:szCs w:val="28"/>
        </w:rPr>
      </w:pPr>
      <w:r w:rsidRPr="00FE3AB0">
        <w:rPr>
          <w:szCs w:val="28"/>
        </w:rPr>
        <w:t>- оборот розничной торговли (по крупным и средним организациям составил 3271,1 млн. рублей, что выше планового значения на 2023 год на 340,6 млн. руб., и выше уровня 2018 года на 1620,9 млн. рублей (2018 г. - 1650,2 млн. руб.);</w:t>
      </w:r>
    </w:p>
    <w:p w:rsidR="00FE3AB0" w:rsidRPr="00FE3AB0" w:rsidRDefault="00FE3AB0" w:rsidP="00AA15BB">
      <w:pPr>
        <w:ind w:firstLine="708"/>
        <w:jc w:val="both"/>
        <w:rPr>
          <w:color w:val="000000" w:themeColor="text1"/>
          <w:szCs w:val="28"/>
        </w:rPr>
      </w:pPr>
      <w:r w:rsidRPr="00FE3AB0">
        <w:rPr>
          <w:szCs w:val="28"/>
        </w:rPr>
        <w:t xml:space="preserve">- численность занятых в сфере малого и среднего предпринимательства, включая индивидуальных предпринимателей в 2023 </w:t>
      </w:r>
      <w:r w:rsidRPr="00FE3AB0">
        <w:rPr>
          <w:color w:val="000000" w:themeColor="text1"/>
          <w:szCs w:val="28"/>
        </w:rPr>
        <w:t>году составила 6785 чел., что выше планового значения на 2023 год на 285 чел., и выше уровня 2018 года на 1488 человек;</w:t>
      </w:r>
    </w:p>
    <w:p w:rsidR="00FE3AB0" w:rsidRPr="00FE3AB0" w:rsidRDefault="00FE3AB0" w:rsidP="00AA15BB">
      <w:pPr>
        <w:ind w:firstLine="708"/>
        <w:jc w:val="both"/>
        <w:rPr>
          <w:szCs w:val="28"/>
        </w:rPr>
      </w:pPr>
      <w:r w:rsidRPr="00FE3AB0">
        <w:rPr>
          <w:szCs w:val="28"/>
        </w:rPr>
        <w:t>- число субъектов малого и среднего предпринимательства в расчёте на 10 тыс. населения в 2023 году составило 628,5 ед., что выше планового значения на 2023 год на 215 единиц и выше уровня 2018 года на 259,6 единиц (2018 г. - 368,9 ед.);</w:t>
      </w:r>
    </w:p>
    <w:p w:rsidR="00FE3AB0" w:rsidRPr="00FE3AB0" w:rsidRDefault="00FE3AB0" w:rsidP="00AA15BB">
      <w:pPr>
        <w:ind w:firstLine="708"/>
        <w:jc w:val="both"/>
        <w:rPr>
          <w:szCs w:val="28"/>
        </w:rPr>
      </w:pPr>
      <w:r w:rsidRPr="00FE3AB0">
        <w:rPr>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2023 году составила 22 % что ниже планового значения на 2023 год на 10,7 % (план на 2023г. - 32,7 %; и ниже уровня 2018 года на 7,5 %;</w:t>
      </w:r>
    </w:p>
    <w:p w:rsidR="00FE3AB0" w:rsidRPr="00FE3AB0" w:rsidRDefault="00FE3AB0" w:rsidP="00AA15BB">
      <w:pPr>
        <w:ind w:firstLine="708"/>
        <w:jc w:val="both"/>
        <w:rPr>
          <w:szCs w:val="28"/>
        </w:rPr>
      </w:pPr>
      <w:r w:rsidRPr="00FE3AB0">
        <w:rPr>
          <w:szCs w:val="28"/>
        </w:rPr>
        <w:t xml:space="preserve">- выполнение плановых показателей по доходам от использования объектов движимого, недвижимого имущества муниципальной собственности городского округа (за исключением земельных участков), имущественных комплексов муниципальных унитарных предприятий городского округа, муниципальных учреждений городского округа, земельных участков муниципальной собственности в 2023 году составило 111,08 % и увеличилось </w:t>
      </w:r>
      <w:r w:rsidRPr="00FE3AB0">
        <w:rPr>
          <w:szCs w:val="28"/>
        </w:rPr>
        <w:lastRenderedPageBreak/>
        <w:t>к плановому значению на 2023 год и к уровню 2018 года на 11,08 % (2018 г. - 100 %);</w:t>
      </w:r>
    </w:p>
    <w:p w:rsidR="00FE3AB0" w:rsidRPr="00FE3AB0" w:rsidRDefault="00FE3AB0" w:rsidP="00AA15BB">
      <w:pPr>
        <w:ind w:firstLine="708"/>
        <w:jc w:val="both"/>
        <w:rPr>
          <w:szCs w:val="28"/>
        </w:rPr>
      </w:pPr>
      <w:r w:rsidRPr="00FE3AB0">
        <w:rPr>
          <w:szCs w:val="28"/>
        </w:rPr>
        <w:t>- доля земельных участков, на которых зарегистрировано право муниципальной собственности городского округа в общем количестве земельных участков подлежащих регистрации в муниципальную собственность городского округа в 2023 году составила 100 %, что выше уровня 2018 года на 17 %, и выше планового значения на 2023 год на 7 % (2018 г. - 83%).</w:t>
      </w:r>
    </w:p>
    <w:p w:rsidR="00FE3AB0" w:rsidRDefault="00FE3AB0" w:rsidP="00AA15BB">
      <w:pPr>
        <w:ind w:firstLine="567"/>
        <w:jc w:val="both"/>
        <w:rPr>
          <w:szCs w:val="28"/>
        </w:rPr>
      </w:pPr>
      <w:r w:rsidRPr="00FE3AB0">
        <w:rPr>
          <w:szCs w:val="28"/>
        </w:rPr>
        <w:t>В рамках реализации Стратегии проводилась большая совместная работа всех органов власти, предпринимательского сообщества, предприятий, организаций, общественности, создавались условия, позволяющие повысить уровень доходов и качество жизни населения.</w:t>
      </w:r>
    </w:p>
    <w:p w:rsidR="00B7715C" w:rsidRPr="00FE3AB0" w:rsidRDefault="00B7715C" w:rsidP="00AA15BB">
      <w:pPr>
        <w:ind w:firstLine="567"/>
        <w:jc w:val="both"/>
        <w:rPr>
          <w:b/>
        </w:rPr>
      </w:pPr>
    </w:p>
    <w:p w:rsidR="00FE3AB0" w:rsidRDefault="00FE3AB0" w:rsidP="00AA15BB">
      <w:pPr>
        <w:rPr>
          <w:b/>
        </w:rPr>
        <w:sectPr w:rsidR="00FE3AB0" w:rsidSect="00AA15BB">
          <w:pgSz w:w="11906" w:h="16838"/>
          <w:pgMar w:top="1134" w:right="567" w:bottom="1134" w:left="1985" w:header="709" w:footer="709" w:gutter="0"/>
          <w:cols w:space="708"/>
          <w:docGrid w:linePitch="381"/>
        </w:sectPr>
      </w:pPr>
    </w:p>
    <w:p w:rsidR="00FE3AB0" w:rsidRPr="00FE3AB0" w:rsidRDefault="00FE3AB0" w:rsidP="00AA15BB">
      <w:pPr>
        <w:ind w:left="11624"/>
        <w:rPr>
          <w:szCs w:val="28"/>
        </w:rPr>
      </w:pPr>
      <w:r w:rsidRPr="00FE3AB0">
        <w:rPr>
          <w:szCs w:val="28"/>
        </w:rPr>
        <w:lastRenderedPageBreak/>
        <w:t xml:space="preserve">Приложение 2 </w:t>
      </w:r>
    </w:p>
    <w:p w:rsidR="00FE3AB0" w:rsidRPr="00FE3AB0" w:rsidRDefault="00FE3AB0" w:rsidP="00AA15BB">
      <w:pPr>
        <w:ind w:left="12049" w:hanging="425"/>
        <w:rPr>
          <w:szCs w:val="28"/>
          <w:lang w:eastAsia="en-US"/>
        </w:rPr>
      </w:pPr>
      <w:proofErr w:type="gramStart"/>
      <w:r w:rsidRPr="00FE3AB0">
        <w:rPr>
          <w:szCs w:val="28"/>
        </w:rPr>
        <w:t>к</w:t>
      </w:r>
      <w:proofErr w:type="gramEnd"/>
      <w:r w:rsidRPr="00FE3AB0">
        <w:rPr>
          <w:szCs w:val="28"/>
        </w:rPr>
        <w:t xml:space="preserve"> решению</w:t>
      </w:r>
    </w:p>
    <w:p w:rsidR="00FE3AB0" w:rsidRPr="00FE3AB0" w:rsidRDefault="00FE3AB0" w:rsidP="00AA15BB">
      <w:pPr>
        <w:ind w:left="12049" w:hanging="425"/>
        <w:rPr>
          <w:szCs w:val="28"/>
        </w:rPr>
      </w:pPr>
      <w:r w:rsidRPr="00FE3AB0">
        <w:rPr>
          <w:szCs w:val="28"/>
        </w:rPr>
        <w:t>Совета депутатов</w:t>
      </w:r>
    </w:p>
    <w:p w:rsidR="00FE3AB0" w:rsidRPr="00FE3AB0" w:rsidRDefault="00FE3AB0" w:rsidP="00AA15BB">
      <w:pPr>
        <w:ind w:left="12049" w:hanging="425"/>
        <w:rPr>
          <w:szCs w:val="28"/>
        </w:rPr>
      </w:pPr>
      <w:r w:rsidRPr="00FE3AB0">
        <w:rPr>
          <w:szCs w:val="28"/>
        </w:rPr>
        <w:t>Новоалександровского</w:t>
      </w:r>
    </w:p>
    <w:p w:rsidR="00FE3AB0" w:rsidRPr="00FE3AB0" w:rsidRDefault="00FE3AB0" w:rsidP="00AA15BB">
      <w:pPr>
        <w:ind w:left="12049" w:hanging="425"/>
        <w:rPr>
          <w:szCs w:val="28"/>
        </w:rPr>
      </w:pPr>
      <w:proofErr w:type="gramStart"/>
      <w:r w:rsidRPr="00FE3AB0">
        <w:rPr>
          <w:szCs w:val="28"/>
        </w:rPr>
        <w:t>муниципального</w:t>
      </w:r>
      <w:proofErr w:type="gramEnd"/>
      <w:r w:rsidRPr="00FE3AB0">
        <w:rPr>
          <w:szCs w:val="28"/>
        </w:rPr>
        <w:t xml:space="preserve"> округа</w:t>
      </w:r>
    </w:p>
    <w:p w:rsidR="00FE3AB0" w:rsidRPr="00FE3AB0" w:rsidRDefault="00FE3AB0" w:rsidP="00AA15BB">
      <w:pPr>
        <w:ind w:left="12049" w:hanging="425"/>
        <w:rPr>
          <w:szCs w:val="28"/>
        </w:rPr>
      </w:pPr>
      <w:r w:rsidRPr="00FE3AB0">
        <w:rPr>
          <w:szCs w:val="28"/>
        </w:rPr>
        <w:t>Ставропольского края</w:t>
      </w:r>
    </w:p>
    <w:p w:rsidR="00856613" w:rsidRPr="00FE3AB0" w:rsidRDefault="00FE3AB0" w:rsidP="00AA15BB">
      <w:pPr>
        <w:ind w:left="6237"/>
        <w:rPr>
          <w:szCs w:val="28"/>
        </w:rPr>
      </w:pPr>
      <w:r w:rsidRPr="00FE3AB0">
        <w:rPr>
          <w:szCs w:val="28"/>
        </w:rPr>
        <w:t xml:space="preserve">                                                         </w:t>
      </w:r>
      <w:r w:rsidR="001E7934">
        <w:rPr>
          <w:szCs w:val="28"/>
        </w:rPr>
        <w:t xml:space="preserve">                    </w:t>
      </w:r>
      <w:proofErr w:type="gramStart"/>
      <w:r w:rsidR="00856613" w:rsidRPr="00FE3AB0">
        <w:rPr>
          <w:szCs w:val="28"/>
        </w:rPr>
        <w:t>от</w:t>
      </w:r>
      <w:proofErr w:type="gramEnd"/>
      <w:r w:rsidR="00856613" w:rsidRPr="00FE3AB0">
        <w:rPr>
          <w:szCs w:val="28"/>
        </w:rPr>
        <w:t xml:space="preserve"> 25.04.2024 № 23/778</w:t>
      </w:r>
    </w:p>
    <w:p w:rsidR="00D46BD6" w:rsidRDefault="00D46BD6" w:rsidP="00AA15BB">
      <w:pPr>
        <w:ind w:firstLine="709"/>
        <w:jc w:val="center"/>
        <w:rPr>
          <w:szCs w:val="28"/>
        </w:rPr>
      </w:pPr>
    </w:p>
    <w:p w:rsidR="00D46BD6" w:rsidRDefault="00D46BD6" w:rsidP="00AA15BB">
      <w:pPr>
        <w:ind w:firstLine="709"/>
        <w:jc w:val="center"/>
        <w:rPr>
          <w:szCs w:val="28"/>
        </w:rPr>
      </w:pPr>
    </w:p>
    <w:p w:rsidR="00FE3AB0" w:rsidRDefault="00FE3AB0" w:rsidP="00AA15BB">
      <w:pPr>
        <w:ind w:firstLine="709"/>
        <w:jc w:val="center"/>
        <w:rPr>
          <w:szCs w:val="28"/>
        </w:rPr>
      </w:pPr>
      <w:r w:rsidRPr="00FE3AB0">
        <w:rPr>
          <w:szCs w:val="28"/>
        </w:rPr>
        <w:t>Мониторинг показателей достижения целей социально-экономического развития Новоалександровского городского округа Ставропольского края на период реализации Стратегии до 2035 года за 2023 год</w:t>
      </w:r>
    </w:p>
    <w:p w:rsidR="001E7934" w:rsidRDefault="001E7934"/>
    <w:tbl>
      <w:tblPr>
        <w:tblW w:w="15049" w:type="dxa"/>
        <w:tblInd w:w="255" w:type="dxa"/>
        <w:tblLayout w:type="fixed"/>
        <w:tblCellMar>
          <w:left w:w="113" w:type="dxa"/>
        </w:tblCellMar>
        <w:tblLook w:val="04A0" w:firstRow="1" w:lastRow="0" w:firstColumn="1" w:lastColumn="0" w:noHBand="0" w:noVBand="1"/>
      </w:tblPr>
      <w:tblGrid>
        <w:gridCol w:w="708"/>
        <w:gridCol w:w="3119"/>
        <w:gridCol w:w="1701"/>
        <w:gridCol w:w="1276"/>
        <w:gridCol w:w="992"/>
        <w:gridCol w:w="1134"/>
        <w:gridCol w:w="1016"/>
        <w:gridCol w:w="1276"/>
        <w:gridCol w:w="260"/>
        <w:gridCol w:w="142"/>
        <w:gridCol w:w="874"/>
        <w:gridCol w:w="1134"/>
        <w:gridCol w:w="1417"/>
      </w:tblGrid>
      <w:tr w:rsidR="00FE3AB0" w:rsidRPr="001E7934" w:rsidTr="001E7934">
        <w:trPr>
          <w:trHeight w:val="2820"/>
        </w:trPr>
        <w:tc>
          <w:tcPr>
            <w:tcW w:w="708" w:type="dxa"/>
            <w:tcBorders>
              <w:top w:val="single" w:sz="4" w:space="0" w:color="00000A"/>
              <w:left w:val="single" w:sz="4" w:space="0" w:color="00000A"/>
              <w:bottom w:val="single" w:sz="4" w:space="0" w:color="00000A"/>
              <w:right w:val="nil"/>
            </w:tcBorders>
            <w:hideMark/>
          </w:tcPr>
          <w:p w:rsidR="00FE3AB0" w:rsidRPr="001E7934" w:rsidRDefault="00FE3AB0" w:rsidP="00AA15BB">
            <w:pPr>
              <w:ind w:right="282"/>
              <w:rPr>
                <w:sz w:val="18"/>
                <w:szCs w:val="18"/>
              </w:rPr>
            </w:pPr>
            <w:r w:rsidRPr="001E7934">
              <w:rPr>
                <w:sz w:val="18"/>
                <w:szCs w:val="18"/>
              </w:rPr>
              <w:t>№ п/п</w:t>
            </w:r>
          </w:p>
        </w:tc>
        <w:tc>
          <w:tcPr>
            <w:tcW w:w="3119" w:type="dxa"/>
            <w:tcBorders>
              <w:top w:val="single" w:sz="4" w:space="0" w:color="00000A"/>
              <w:left w:val="single" w:sz="4" w:space="0" w:color="00000A"/>
              <w:bottom w:val="single" w:sz="4" w:space="0" w:color="00000A"/>
              <w:right w:val="nil"/>
            </w:tcBorders>
            <w:hideMark/>
          </w:tcPr>
          <w:p w:rsidR="00FE3AB0" w:rsidRPr="001E7934" w:rsidRDefault="00FE3AB0" w:rsidP="00AA15BB">
            <w:pPr>
              <w:ind w:left="-255" w:firstLine="255"/>
              <w:rPr>
                <w:sz w:val="18"/>
                <w:szCs w:val="18"/>
              </w:rPr>
            </w:pPr>
            <w:r w:rsidRPr="001E7934">
              <w:rPr>
                <w:sz w:val="18"/>
                <w:szCs w:val="18"/>
              </w:rPr>
              <w:t>Наименование показателя</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sz w:val="18"/>
                <w:szCs w:val="18"/>
              </w:rPr>
            </w:pPr>
            <w:r w:rsidRPr="001E7934">
              <w:rPr>
                <w:sz w:val="18"/>
                <w:szCs w:val="18"/>
              </w:rPr>
              <w:t>Единицы измерения</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Фактическое значение показателя Стратегии (базовый год)</w:t>
            </w:r>
          </w:p>
          <w:p w:rsidR="00FE3AB0" w:rsidRPr="001E7934" w:rsidRDefault="00FE3AB0" w:rsidP="00B7715C">
            <w:pPr>
              <w:jc w:val="center"/>
              <w:rPr>
                <w:sz w:val="18"/>
                <w:szCs w:val="18"/>
              </w:rPr>
            </w:pPr>
            <w:r w:rsidRPr="001E7934">
              <w:rPr>
                <w:sz w:val="18"/>
                <w:szCs w:val="18"/>
              </w:rPr>
              <w:t>2018 год</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2020 год</w:t>
            </w:r>
          </w:p>
          <w:p w:rsidR="00FE3AB0" w:rsidRPr="001E7934" w:rsidRDefault="00FE3AB0" w:rsidP="00AA15BB">
            <w:pPr>
              <w:jc w:val="center"/>
              <w:rPr>
                <w:sz w:val="18"/>
                <w:szCs w:val="18"/>
              </w:rPr>
            </w:pPr>
            <w:proofErr w:type="gramStart"/>
            <w:r w:rsidRPr="001E7934">
              <w:rPr>
                <w:sz w:val="18"/>
                <w:szCs w:val="18"/>
              </w:rPr>
              <w:t>отчет</w:t>
            </w:r>
            <w:proofErr w:type="gramEnd"/>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autoSpaceDE w:val="0"/>
              <w:autoSpaceDN w:val="0"/>
              <w:adjustRightInd w:val="0"/>
              <w:jc w:val="center"/>
              <w:rPr>
                <w:rFonts w:eastAsia="Calibri"/>
                <w:sz w:val="18"/>
                <w:szCs w:val="18"/>
              </w:rPr>
            </w:pPr>
            <w:r w:rsidRPr="001E7934">
              <w:rPr>
                <w:rFonts w:eastAsia="Calibri"/>
                <w:sz w:val="18"/>
                <w:szCs w:val="18"/>
              </w:rPr>
              <w:t>2021 год</w:t>
            </w:r>
          </w:p>
          <w:p w:rsidR="00FE3AB0" w:rsidRPr="001E7934" w:rsidRDefault="00FE3AB0" w:rsidP="00AA15BB">
            <w:pPr>
              <w:autoSpaceDE w:val="0"/>
              <w:autoSpaceDN w:val="0"/>
              <w:adjustRightInd w:val="0"/>
              <w:jc w:val="center"/>
              <w:rPr>
                <w:rFonts w:eastAsia="Calibri"/>
                <w:sz w:val="18"/>
                <w:szCs w:val="18"/>
              </w:rPr>
            </w:pPr>
            <w:proofErr w:type="gramStart"/>
            <w:r w:rsidRPr="001E7934">
              <w:rPr>
                <w:rFonts w:eastAsia="Calibri"/>
                <w:sz w:val="18"/>
                <w:szCs w:val="18"/>
              </w:rPr>
              <w:t>отчет</w:t>
            </w:r>
            <w:proofErr w:type="gramEnd"/>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autoSpaceDE w:val="0"/>
              <w:autoSpaceDN w:val="0"/>
              <w:adjustRightInd w:val="0"/>
              <w:rPr>
                <w:rFonts w:eastAsia="Calibri"/>
                <w:sz w:val="18"/>
                <w:szCs w:val="18"/>
              </w:rPr>
            </w:pPr>
            <w:r w:rsidRPr="001E7934">
              <w:rPr>
                <w:rFonts w:eastAsia="Calibri"/>
                <w:sz w:val="18"/>
                <w:szCs w:val="18"/>
              </w:rPr>
              <w:t xml:space="preserve">2022 </w:t>
            </w:r>
          </w:p>
          <w:p w:rsidR="00FE3AB0" w:rsidRPr="001E7934" w:rsidRDefault="00FE3AB0" w:rsidP="00AA15BB">
            <w:pPr>
              <w:autoSpaceDE w:val="0"/>
              <w:autoSpaceDN w:val="0"/>
              <w:adjustRightInd w:val="0"/>
              <w:rPr>
                <w:rFonts w:eastAsia="Calibri"/>
                <w:sz w:val="18"/>
                <w:szCs w:val="18"/>
              </w:rPr>
            </w:pPr>
            <w:proofErr w:type="gramStart"/>
            <w:r w:rsidRPr="001E7934">
              <w:rPr>
                <w:rFonts w:eastAsia="Calibri"/>
                <w:sz w:val="18"/>
                <w:szCs w:val="18"/>
              </w:rPr>
              <w:t>год</w:t>
            </w:r>
            <w:proofErr w:type="gramEnd"/>
          </w:p>
          <w:p w:rsidR="00FE3AB0" w:rsidRPr="001E7934" w:rsidRDefault="00FE3AB0" w:rsidP="00AA15BB">
            <w:pPr>
              <w:autoSpaceDE w:val="0"/>
              <w:autoSpaceDN w:val="0"/>
              <w:adjustRightInd w:val="0"/>
              <w:rPr>
                <w:rFonts w:eastAsia="Calibri"/>
                <w:sz w:val="18"/>
                <w:szCs w:val="18"/>
              </w:rPr>
            </w:pPr>
            <w:proofErr w:type="gramStart"/>
            <w:r w:rsidRPr="001E7934">
              <w:rPr>
                <w:rFonts w:eastAsia="Calibri"/>
                <w:sz w:val="18"/>
                <w:szCs w:val="18"/>
              </w:rPr>
              <w:t>отчет</w:t>
            </w:r>
            <w:proofErr w:type="gramEnd"/>
          </w:p>
        </w:tc>
        <w:tc>
          <w:tcPr>
            <w:tcW w:w="1276" w:type="dxa"/>
            <w:tcBorders>
              <w:top w:val="single" w:sz="4" w:space="0" w:color="00000A"/>
              <w:left w:val="single" w:sz="4" w:space="0" w:color="00000A"/>
              <w:bottom w:val="single" w:sz="4" w:space="0" w:color="00000A"/>
              <w:right w:val="nil"/>
            </w:tcBorders>
          </w:tcPr>
          <w:p w:rsidR="00FE3AB0" w:rsidRPr="001E7934" w:rsidRDefault="00FE3AB0" w:rsidP="00AA15BB">
            <w:pPr>
              <w:autoSpaceDE w:val="0"/>
              <w:autoSpaceDN w:val="0"/>
              <w:adjustRightInd w:val="0"/>
              <w:rPr>
                <w:rFonts w:eastAsia="Calibri"/>
                <w:sz w:val="18"/>
                <w:szCs w:val="18"/>
              </w:rPr>
            </w:pPr>
            <w:r w:rsidRPr="001E7934">
              <w:rPr>
                <w:rFonts w:eastAsia="Calibri"/>
                <w:sz w:val="18"/>
                <w:szCs w:val="18"/>
              </w:rPr>
              <w:t xml:space="preserve">Плановое значение показателя, установленное в Стратегии </w:t>
            </w:r>
          </w:p>
          <w:p w:rsidR="00FE3AB0" w:rsidRPr="001E7934" w:rsidRDefault="00FE3AB0" w:rsidP="00AA15BB">
            <w:pPr>
              <w:autoSpaceDE w:val="0"/>
              <w:autoSpaceDN w:val="0"/>
              <w:adjustRightInd w:val="0"/>
              <w:rPr>
                <w:rFonts w:eastAsia="Calibri"/>
                <w:sz w:val="18"/>
                <w:szCs w:val="18"/>
              </w:rPr>
            </w:pPr>
            <w:r w:rsidRPr="001E7934">
              <w:rPr>
                <w:rFonts w:eastAsia="Calibri"/>
                <w:sz w:val="18"/>
                <w:szCs w:val="18"/>
              </w:rPr>
              <w:t>2023 год</w:t>
            </w:r>
          </w:p>
          <w:p w:rsidR="00FE3AB0" w:rsidRPr="001E7934" w:rsidRDefault="00FE3AB0" w:rsidP="00AA15BB">
            <w:pPr>
              <w:autoSpaceDE w:val="0"/>
              <w:autoSpaceDN w:val="0"/>
              <w:adjustRightInd w:val="0"/>
              <w:rPr>
                <w:rFonts w:eastAsia="Calibri"/>
                <w:sz w:val="18"/>
                <w:szCs w:val="18"/>
              </w:rPr>
            </w:pPr>
          </w:p>
        </w:tc>
        <w:tc>
          <w:tcPr>
            <w:tcW w:w="1276"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autoSpaceDE w:val="0"/>
              <w:autoSpaceDN w:val="0"/>
              <w:adjustRightInd w:val="0"/>
              <w:rPr>
                <w:rFonts w:eastAsia="Calibri"/>
                <w:sz w:val="18"/>
                <w:szCs w:val="18"/>
              </w:rPr>
            </w:pPr>
            <w:r w:rsidRPr="001E7934">
              <w:rPr>
                <w:rFonts w:eastAsia="Calibri"/>
                <w:sz w:val="18"/>
                <w:szCs w:val="18"/>
              </w:rPr>
              <w:t xml:space="preserve">Фактическое </w:t>
            </w:r>
            <w:proofErr w:type="gramStart"/>
            <w:r w:rsidRPr="001E7934">
              <w:rPr>
                <w:rFonts w:eastAsia="Calibri"/>
                <w:sz w:val="18"/>
                <w:szCs w:val="18"/>
              </w:rPr>
              <w:t>выполнение  показателя</w:t>
            </w:r>
            <w:proofErr w:type="gramEnd"/>
            <w:r w:rsidRPr="001E7934">
              <w:rPr>
                <w:rFonts w:eastAsia="Calibri"/>
                <w:sz w:val="18"/>
                <w:szCs w:val="18"/>
              </w:rPr>
              <w:t xml:space="preserve"> Стратегии </w:t>
            </w:r>
          </w:p>
          <w:p w:rsidR="00FE3AB0" w:rsidRPr="001E7934" w:rsidRDefault="00FE3AB0" w:rsidP="00AA15BB">
            <w:pPr>
              <w:autoSpaceDE w:val="0"/>
              <w:autoSpaceDN w:val="0"/>
              <w:adjustRightInd w:val="0"/>
              <w:rPr>
                <w:rFonts w:eastAsia="Calibri"/>
                <w:sz w:val="18"/>
                <w:szCs w:val="18"/>
              </w:rPr>
            </w:pPr>
            <w:proofErr w:type="gramStart"/>
            <w:r w:rsidRPr="001E7934">
              <w:rPr>
                <w:rFonts w:eastAsia="Calibri"/>
                <w:sz w:val="18"/>
                <w:szCs w:val="18"/>
              </w:rPr>
              <w:t>за</w:t>
            </w:r>
            <w:proofErr w:type="gramEnd"/>
            <w:r w:rsidRPr="001E7934">
              <w:rPr>
                <w:rFonts w:eastAsia="Calibri"/>
                <w:sz w:val="18"/>
                <w:szCs w:val="18"/>
              </w:rPr>
              <w:t xml:space="preserve"> 2023 год</w:t>
            </w:r>
          </w:p>
          <w:p w:rsidR="00FE3AB0" w:rsidRPr="001E7934" w:rsidRDefault="00FE3AB0" w:rsidP="00AA15BB">
            <w:pPr>
              <w:autoSpaceDE w:val="0"/>
              <w:autoSpaceDN w:val="0"/>
              <w:adjustRightInd w:val="0"/>
              <w:rPr>
                <w:rFonts w:eastAsia="Calibri"/>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 xml:space="preserve">Отклонение + (-) фактического значения показателя реализации Стратегии за 2023 год от значения показателя установленного в Стратегии </w:t>
            </w:r>
          </w:p>
          <w:p w:rsidR="00FE3AB0" w:rsidRPr="001E7934" w:rsidRDefault="00FE3AB0" w:rsidP="00AA15BB">
            <w:pPr>
              <w:jc w:val="center"/>
              <w:rPr>
                <w:rFonts w:eastAsia="Calibri"/>
                <w:sz w:val="18"/>
                <w:szCs w:val="18"/>
              </w:rPr>
            </w:pPr>
            <w:proofErr w:type="gramStart"/>
            <w:r w:rsidRPr="001E7934">
              <w:rPr>
                <w:sz w:val="18"/>
                <w:szCs w:val="18"/>
              </w:rPr>
              <w:t>на</w:t>
            </w:r>
            <w:proofErr w:type="gramEnd"/>
            <w:r w:rsidRPr="001E7934">
              <w:rPr>
                <w:sz w:val="18"/>
                <w:szCs w:val="18"/>
              </w:rPr>
              <w:t xml:space="preserve"> 2023г.</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b/>
                <w:sz w:val="18"/>
                <w:szCs w:val="18"/>
              </w:rPr>
            </w:pPr>
            <w:r w:rsidRPr="001E7934">
              <w:rPr>
                <w:rFonts w:eastAsia="Calibri"/>
                <w:sz w:val="18"/>
                <w:szCs w:val="18"/>
              </w:rPr>
              <w:t>Пояснение по рискам не выполнения итогов 2021г. и мерам по их выполнению в случае отклонения от планируемого показателя Стратегии более, чем на 15%</w:t>
            </w:r>
          </w:p>
        </w:tc>
      </w:tr>
      <w:tr w:rsidR="00FE3AB0" w:rsidRPr="001E7934" w:rsidTr="001E7934">
        <w:tc>
          <w:tcPr>
            <w:tcW w:w="708" w:type="dxa"/>
            <w:tcBorders>
              <w:top w:val="single" w:sz="4" w:space="0" w:color="00000A"/>
              <w:left w:val="single" w:sz="4" w:space="0" w:color="00000A"/>
              <w:bottom w:val="single" w:sz="4" w:space="0" w:color="00000A"/>
              <w:right w:val="nil"/>
            </w:tcBorders>
            <w:hideMark/>
          </w:tcPr>
          <w:p w:rsidR="00FE3AB0" w:rsidRPr="001E7934" w:rsidRDefault="00FE3AB0" w:rsidP="00AA15BB">
            <w:pPr>
              <w:jc w:val="center"/>
              <w:rPr>
                <w:sz w:val="18"/>
                <w:szCs w:val="18"/>
              </w:rPr>
            </w:pPr>
            <w:r w:rsidRPr="001E7934">
              <w:rPr>
                <w:sz w:val="18"/>
                <w:szCs w:val="18"/>
              </w:rPr>
              <w:t>1</w:t>
            </w:r>
          </w:p>
        </w:tc>
        <w:tc>
          <w:tcPr>
            <w:tcW w:w="3119" w:type="dxa"/>
            <w:tcBorders>
              <w:top w:val="single" w:sz="4" w:space="0" w:color="00000A"/>
              <w:left w:val="single" w:sz="4" w:space="0" w:color="00000A"/>
              <w:bottom w:val="single" w:sz="4" w:space="0" w:color="00000A"/>
              <w:right w:val="nil"/>
            </w:tcBorders>
            <w:hideMark/>
          </w:tcPr>
          <w:p w:rsidR="00FE3AB0" w:rsidRPr="001E7934" w:rsidRDefault="00FE3AB0" w:rsidP="00AA15BB">
            <w:pPr>
              <w:jc w:val="center"/>
              <w:rPr>
                <w:sz w:val="18"/>
                <w:szCs w:val="18"/>
              </w:rPr>
            </w:pPr>
            <w:r w:rsidRPr="001E7934">
              <w:rPr>
                <w:sz w:val="18"/>
                <w:szCs w:val="18"/>
              </w:rPr>
              <w:t>2</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w:t>
            </w:r>
          </w:p>
        </w:tc>
        <w:tc>
          <w:tcPr>
            <w:tcW w:w="992" w:type="dxa"/>
            <w:tcBorders>
              <w:top w:val="single" w:sz="4" w:space="0" w:color="00000A"/>
              <w:left w:val="single" w:sz="4" w:space="0" w:color="00000A"/>
              <w:bottom w:val="single" w:sz="4" w:space="0" w:color="00000A"/>
              <w:right w:val="single" w:sz="4" w:space="0" w:color="00000A"/>
            </w:tcBorders>
            <w:hideMark/>
          </w:tcPr>
          <w:p w:rsidR="00FE3AB0" w:rsidRPr="001E7934" w:rsidRDefault="00FE3AB0" w:rsidP="00AA15BB">
            <w:pPr>
              <w:jc w:val="center"/>
              <w:rPr>
                <w:sz w:val="18"/>
                <w:szCs w:val="18"/>
              </w:rPr>
            </w:pPr>
            <w:r w:rsidRPr="001E7934">
              <w:rPr>
                <w:sz w:val="18"/>
                <w:szCs w:val="18"/>
              </w:rPr>
              <w:t>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w:t>
            </w:r>
          </w:p>
        </w:tc>
        <w:tc>
          <w:tcPr>
            <w:tcW w:w="1536" w:type="dxa"/>
            <w:gridSpan w:val="2"/>
            <w:tcBorders>
              <w:top w:val="single" w:sz="4" w:space="0" w:color="00000A"/>
              <w:left w:val="single" w:sz="4" w:space="0" w:color="00000A"/>
              <w:bottom w:val="single" w:sz="4" w:space="0" w:color="00000A"/>
              <w:right w:val="nil"/>
            </w:tcBorders>
            <w:hideMark/>
          </w:tcPr>
          <w:p w:rsidR="00FE3AB0" w:rsidRPr="001E7934" w:rsidRDefault="00FE3AB0" w:rsidP="00AA15BB">
            <w:pPr>
              <w:jc w:val="center"/>
              <w:rPr>
                <w:sz w:val="18"/>
                <w:szCs w:val="18"/>
              </w:rPr>
            </w:pPr>
            <w:r w:rsidRPr="001E7934">
              <w:rPr>
                <w:sz w:val="18"/>
                <w:szCs w:val="18"/>
              </w:rPr>
              <w:t>8</w:t>
            </w:r>
          </w:p>
        </w:tc>
        <w:tc>
          <w:tcPr>
            <w:tcW w:w="1016" w:type="dxa"/>
            <w:gridSpan w:val="2"/>
            <w:tcBorders>
              <w:top w:val="single" w:sz="4" w:space="0" w:color="00000A"/>
              <w:left w:val="single" w:sz="4" w:space="0" w:color="00000A"/>
              <w:bottom w:val="single" w:sz="4" w:space="0" w:color="00000A"/>
              <w:right w:val="single" w:sz="4" w:space="0" w:color="00000A"/>
            </w:tcBorders>
            <w:hideMark/>
          </w:tcPr>
          <w:p w:rsidR="00FE3AB0" w:rsidRPr="001E7934" w:rsidRDefault="00FE3AB0" w:rsidP="00AA15BB">
            <w:pPr>
              <w:jc w:val="center"/>
              <w:rPr>
                <w:sz w:val="18"/>
                <w:szCs w:val="18"/>
              </w:rPr>
            </w:pPr>
            <w:r w:rsidRPr="001E7934">
              <w:rPr>
                <w:sz w:val="18"/>
                <w:szCs w:val="18"/>
              </w:rPr>
              <w:t>9</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w:t>
            </w:r>
          </w:p>
        </w:tc>
      </w:tr>
      <w:tr w:rsidR="00FE3AB0" w:rsidRPr="001E7934" w:rsidTr="001E7934">
        <w:tc>
          <w:tcPr>
            <w:tcW w:w="15049" w:type="dxa"/>
            <w:gridSpan w:val="1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lang w:eastAsia="ja-JP"/>
              </w:rPr>
              <w:t xml:space="preserve">II этап реализации Стратегии социально-экономического развития Новоалександровского городского округа Ставропольского края </w:t>
            </w:r>
            <w:r w:rsidRPr="001E7934">
              <w:rPr>
                <w:rFonts w:eastAsia="Calibri"/>
                <w:sz w:val="18"/>
                <w:szCs w:val="18"/>
                <w:lang w:eastAsia="en-US"/>
              </w:rPr>
              <w:t>(2022 - 2024 годы)</w:t>
            </w: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Цель 1. Сохранение населения, здоровья и благополучия людей, комфортная и безопасная среда для жизни</w:t>
            </w: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both"/>
              <w:rPr>
                <w:sz w:val="18"/>
                <w:szCs w:val="18"/>
              </w:rPr>
            </w:pPr>
            <w:r w:rsidRPr="001E7934">
              <w:rPr>
                <w:sz w:val="18"/>
                <w:szCs w:val="18"/>
              </w:rPr>
              <w:t xml:space="preserve">Задача 1. </w:t>
            </w:r>
            <w:r w:rsidRPr="001E7934">
              <w:rPr>
                <w:rFonts w:eastAsia="Calibri"/>
                <w:sz w:val="18"/>
                <w:szCs w:val="18"/>
                <w:lang w:eastAsia="en-US"/>
              </w:rPr>
              <w:t>Улучшение демографической ситуации и укрепление здоровья населения</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bCs/>
                <w:color w:val="000000"/>
                <w:sz w:val="18"/>
                <w:szCs w:val="18"/>
              </w:rPr>
              <w:t>Численность постоянного населения (среднегодовая)</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тыс. чел.</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65,1</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64,1</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63,0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63,5</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61,9</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tabs>
                <w:tab w:val="left" w:pos="1026"/>
              </w:tabs>
              <w:jc w:val="center"/>
              <w:rPr>
                <w:sz w:val="18"/>
                <w:szCs w:val="18"/>
              </w:rPr>
            </w:pPr>
            <w:r w:rsidRPr="001E7934">
              <w:rPr>
                <w:sz w:val="18"/>
                <w:szCs w:val="18"/>
              </w:rPr>
              <w:t xml:space="preserve">62,7 </w:t>
            </w:r>
          </w:p>
          <w:p w:rsidR="00FE3AB0" w:rsidRPr="001E7934" w:rsidRDefault="00FE3AB0" w:rsidP="00AA15BB">
            <w:pPr>
              <w:tabs>
                <w:tab w:val="left" w:pos="1026"/>
              </w:tabs>
              <w:jc w:val="center"/>
              <w:rPr>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(+ 0,8)</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Общий коэффициент рождаемости </w:t>
            </w:r>
          </w:p>
          <w:p w:rsidR="00FE3AB0" w:rsidRPr="001E7934" w:rsidRDefault="00FE3AB0" w:rsidP="00AA15BB">
            <w:pPr>
              <w:rPr>
                <w:sz w:val="18"/>
                <w:szCs w:val="18"/>
              </w:rPr>
            </w:pPr>
            <w:r w:rsidRPr="001E7934">
              <w:rPr>
                <w:sz w:val="18"/>
                <w:szCs w:val="18"/>
              </w:rPr>
              <w:t xml:space="preserve">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число</w:t>
            </w:r>
            <w:proofErr w:type="gramEnd"/>
            <w:r w:rsidRPr="001E7934">
              <w:rPr>
                <w:sz w:val="18"/>
                <w:szCs w:val="18"/>
              </w:rPr>
              <w:t xml:space="preserve"> родившихся на 1000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8,4</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8,1</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7,8</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8,5</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tabs>
                <w:tab w:val="left" w:pos="1026"/>
              </w:tabs>
              <w:jc w:val="center"/>
              <w:rPr>
                <w:sz w:val="18"/>
                <w:szCs w:val="18"/>
              </w:rPr>
            </w:pPr>
            <w:r w:rsidRPr="001E7934">
              <w:rPr>
                <w:sz w:val="18"/>
                <w:szCs w:val="18"/>
              </w:rPr>
              <w:t>8,2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(- 0,3)</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Общий коэффициент смертности</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число</w:t>
            </w:r>
            <w:proofErr w:type="gramEnd"/>
            <w:r w:rsidRPr="001E7934">
              <w:rPr>
                <w:sz w:val="18"/>
                <w:szCs w:val="18"/>
              </w:rPr>
              <w:t xml:space="preserve"> умерших на 1000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13,9</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14,9</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18,4</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14,3</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17,5</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tabs>
                <w:tab w:val="left" w:pos="1026"/>
              </w:tabs>
              <w:jc w:val="center"/>
              <w:rPr>
                <w:sz w:val="18"/>
                <w:szCs w:val="18"/>
              </w:rPr>
            </w:pPr>
            <w:r w:rsidRPr="001E7934">
              <w:rPr>
                <w:sz w:val="18"/>
                <w:szCs w:val="18"/>
              </w:rPr>
              <w:t>12,9</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(-4,6)</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Ожидаемая продолжительность жизни при рождении</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лет</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70,5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70,5</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70,6</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70,5</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tabs>
                <w:tab w:val="left" w:pos="1026"/>
              </w:tabs>
              <w:jc w:val="center"/>
              <w:rPr>
                <w:sz w:val="18"/>
                <w:szCs w:val="18"/>
              </w:rPr>
            </w:pPr>
            <w:r w:rsidRPr="001E7934">
              <w:rPr>
                <w:sz w:val="18"/>
                <w:szCs w:val="18"/>
              </w:rPr>
              <w:t>70,6</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(+0,1)</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Смертность населения от всех причин смерти</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на</w:t>
            </w:r>
            <w:proofErr w:type="gramEnd"/>
            <w:r w:rsidRPr="001E7934">
              <w:rPr>
                <w:sz w:val="18"/>
                <w:szCs w:val="18"/>
              </w:rPr>
              <w:t xml:space="preserve"> 1000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13,4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14,4</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16,6</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11,63</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14,4</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10,3</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(-4,1)</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lastRenderedPageBreak/>
              <w:t>6</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suppressAutoHyphens w:val="0"/>
              <w:jc w:val="both"/>
              <w:rPr>
                <w:rFonts w:eastAsia="Calibri"/>
                <w:sz w:val="18"/>
                <w:szCs w:val="18"/>
                <w:lang w:eastAsia="en-US"/>
              </w:rPr>
            </w:pPr>
            <w:r w:rsidRPr="001E7934">
              <w:rPr>
                <w:sz w:val="18"/>
                <w:szCs w:val="18"/>
              </w:rPr>
              <w:t xml:space="preserve">Охват всех граждан профилактическими медицинскими осмотрами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99,8</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68,0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78,0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97</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98,0</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100,5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7</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suppressAutoHyphens w:val="0"/>
              <w:jc w:val="both"/>
              <w:rPr>
                <w:rFonts w:eastAsia="Calibri"/>
                <w:sz w:val="18"/>
                <w:szCs w:val="18"/>
                <w:lang w:eastAsia="en-US"/>
              </w:rPr>
            </w:pPr>
            <w:r w:rsidRPr="001E7934">
              <w:rPr>
                <w:sz w:val="18"/>
                <w:szCs w:val="18"/>
              </w:rPr>
              <w:t xml:space="preserve">Охват населения иммунизацией в рамках Национального календаря профилактических прививок не менее 95% от подлежащих иммунизации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98,0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95,9</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100,0</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99,0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8</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suppressAutoHyphens w:val="0"/>
              <w:jc w:val="both"/>
              <w:rPr>
                <w:rFonts w:eastAsia="Calibri"/>
                <w:sz w:val="18"/>
                <w:szCs w:val="18"/>
                <w:lang w:eastAsia="en-US"/>
              </w:rPr>
            </w:pPr>
            <w:r w:rsidRPr="001E7934">
              <w:rPr>
                <w:sz w:val="18"/>
                <w:szCs w:val="18"/>
              </w:rPr>
              <w:t xml:space="preserve">Коэффициент миграционного прироста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на</w:t>
            </w:r>
            <w:proofErr w:type="gramEnd"/>
            <w:r w:rsidRPr="001E7934">
              <w:rPr>
                <w:sz w:val="18"/>
                <w:szCs w:val="18"/>
              </w:rPr>
              <w:t xml:space="preserve"> 10 тыс. человек населения</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48,7</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-33,2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-47,6</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-44,3</w:t>
            </w:r>
          </w:p>
        </w:tc>
        <w:tc>
          <w:tcPr>
            <w:tcW w:w="1536" w:type="dxa"/>
            <w:gridSpan w:val="2"/>
            <w:tcBorders>
              <w:top w:val="single" w:sz="4" w:space="0" w:color="00000A"/>
              <w:left w:val="single" w:sz="4" w:space="0" w:color="00000A"/>
              <w:bottom w:val="single" w:sz="4" w:space="0" w:color="00000A"/>
              <w:right w:val="nil"/>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- 61,5</w:t>
            </w:r>
          </w:p>
        </w:tc>
        <w:tc>
          <w:tcPr>
            <w:tcW w:w="1016" w:type="dxa"/>
            <w:gridSpan w:val="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- 102,2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(-40,7)</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both"/>
              <w:rPr>
                <w:sz w:val="18"/>
                <w:szCs w:val="18"/>
              </w:rPr>
            </w:pPr>
            <w:r w:rsidRPr="001E7934">
              <w:rPr>
                <w:sz w:val="18"/>
                <w:szCs w:val="18"/>
              </w:rPr>
              <w:t xml:space="preserve">Задача 2. </w:t>
            </w:r>
            <w:r w:rsidRPr="001E7934">
              <w:rPr>
                <w:rFonts w:eastAsia="Calibri"/>
                <w:sz w:val="18"/>
                <w:szCs w:val="18"/>
                <w:lang w:eastAsia="en-US"/>
              </w:rPr>
              <w:t>Обеспечение доступности занятий физической культурой и спортом всех слоев населения городского округа, пропаганда здорового образа жизни</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9</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Доля населения, систематически занимающаяся физической культурой и спортом, в общей численности населения городского округа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43,1</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48,9</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54,5</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55,2</w:t>
            </w:r>
          </w:p>
        </w:tc>
        <w:tc>
          <w:tcPr>
            <w:tcW w:w="1678" w:type="dxa"/>
            <w:gridSpan w:val="3"/>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55,3</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ind w:left="-108"/>
              <w:jc w:val="center"/>
              <w:rPr>
                <w:sz w:val="18"/>
                <w:szCs w:val="18"/>
              </w:rPr>
            </w:pPr>
            <w:r w:rsidRPr="001E7934">
              <w:rPr>
                <w:sz w:val="18"/>
                <w:szCs w:val="18"/>
              </w:rPr>
              <w:t>65,5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(+10,2)</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10</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Уровень обеспеченности граждан спортивными сооружениями исходя из единовременной пропускной способности объектов спорта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55,0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58,0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59,0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73,6</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(+14,6)</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11</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Динамика роста привлеченных инвалидов и лиц с ограниченными возможностями, для участия в соревнованиях и спортивных мероприятиях</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11,9</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12,5</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12,5</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12,6</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12,6</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12</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Количество штатных работников физической культуры и спорта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человек</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117,0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118,0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183,0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154,0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133,0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(-21,0)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ind w:firstLine="567"/>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sz w:val="18"/>
                <w:szCs w:val="18"/>
              </w:rPr>
            </w:pPr>
            <w:r w:rsidRPr="001E7934">
              <w:rPr>
                <w:sz w:val="18"/>
                <w:szCs w:val="18"/>
              </w:rPr>
              <w:t>Задача 3. Повышение качества и доступности услуг в области культуры, возможности для самореализации и развития талантов</w:t>
            </w:r>
          </w:p>
          <w:p w:rsidR="00FE3AB0" w:rsidRPr="001E7934" w:rsidRDefault="00FE3AB0" w:rsidP="00AA15BB">
            <w:pPr>
              <w:ind w:firstLine="567"/>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13</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Количество муниципальных библиотек, подключенных к информационно-телекоммуникационной сети Интернет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rPr>
                <w:sz w:val="18"/>
                <w:szCs w:val="18"/>
              </w:rPr>
            </w:pPr>
            <w:proofErr w:type="gramStart"/>
            <w:r w:rsidRPr="001E7934">
              <w:rPr>
                <w:sz w:val="18"/>
                <w:szCs w:val="18"/>
              </w:rPr>
              <w:t>единицы</w:t>
            </w:r>
            <w:proofErr w:type="gramEnd"/>
            <w:r w:rsidRPr="001E7934">
              <w:rPr>
                <w:sz w:val="18"/>
                <w:szCs w:val="18"/>
              </w:rPr>
              <w:t>/</w:t>
            </w:r>
          </w:p>
          <w:p w:rsidR="00FE3AB0" w:rsidRPr="001E7934" w:rsidRDefault="00FE3AB0" w:rsidP="00AA15BB">
            <w:pPr>
              <w:snapToGrid w:val="0"/>
              <w:jc w:val="center"/>
              <w:rPr>
                <w:sz w:val="18"/>
                <w:szCs w:val="18"/>
              </w:rPr>
            </w:pPr>
            <w:proofErr w:type="gramStart"/>
            <w:r w:rsidRPr="001E7934">
              <w:rPr>
                <w:sz w:val="18"/>
                <w:szCs w:val="18"/>
              </w:rPr>
              <w:t>проценты</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22</w:t>
            </w:r>
          </w:p>
          <w:p w:rsidR="00FE3AB0" w:rsidRPr="001E7934" w:rsidRDefault="00FE3AB0" w:rsidP="00AA15BB">
            <w:pPr>
              <w:jc w:val="center"/>
              <w:rPr>
                <w:sz w:val="18"/>
                <w:szCs w:val="18"/>
              </w:rPr>
            </w:pPr>
            <w:r w:rsidRPr="001E7934">
              <w:rPr>
                <w:sz w:val="18"/>
                <w:szCs w:val="18"/>
              </w:rPr>
              <w:t>88%</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w:t>
            </w:r>
          </w:p>
          <w:p w:rsidR="00FE3AB0" w:rsidRPr="001E7934" w:rsidRDefault="00FE3AB0" w:rsidP="00AA15BB">
            <w:pPr>
              <w:jc w:val="center"/>
              <w:rPr>
                <w:sz w:val="18"/>
                <w:szCs w:val="18"/>
              </w:rPr>
            </w:pPr>
            <w:r w:rsidRPr="001E7934">
              <w:rPr>
                <w:sz w:val="18"/>
                <w:szCs w:val="18"/>
              </w:rPr>
              <w:t>100%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snapToGrid w:val="0"/>
              <w:jc w:val="center"/>
              <w:rPr>
                <w:sz w:val="18"/>
                <w:szCs w:val="18"/>
              </w:rPr>
            </w:pPr>
            <w:r w:rsidRPr="001E7934">
              <w:rPr>
                <w:sz w:val="18"/>
                <w:szCs w:val="18"/>
              </w:rPr>
              <w:t>25</w:t>
            </w:r>
          </w:p>
          <w:p w:rsidR="00FE3AB0" w:rsidRPr="001E7934" w:rsidRDefault="00FE3AB0" w:rsidP="00AA15BB">
            <w:pPr>
              <w:snapToGrid w:val="0"/>
              <w:jc w:val="center"/>
              <w:rPr>
                <w:sz w:val="18"/>
                <w:szCs w:val="18"/>
              </w:rPr>
            </w:pPr>
            <w:r w:rsidRPr="001E7934">
              <w:rPr>
                <w:sz w:val="18"/>
                <w:szCs w:val="18"/>
              </w:rPr>
              <w:t>100%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w:t>
            </w:r>
          </w:p>
          <w:p w:rsidR="00FE3AB0" w:rsidRPr="001E7934" w:rsidRDefault="00FE3AB0" w:rsidP="00AA15BB">
            <w:pPr>
              <w:jc w:val="center"/>
              <w:rPr>
                <w:sz w:val="18"/>
                <w:szCs w:val="18"/>
              </w:rPr>
            </w:pPr>
            <w:r w:rsidRPr="001E7934">
              <w:rPr>
                <w:sz w:val="18"/>
                <w:szCs w:val="18"/>
              </w:rPr>
              <w:t>100%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w:t>
            </w:r>
          </w:p>
          <w:p w:rsidR="00FE3AB0" w:rsidRPr="001E7934" w:rsidRDefault="00FE3AB0" w:rsidP="00AA15BB">
            <w:pPr>
              <w:snapToGrid w:val="0"/>
              <w:jc w:val="center"/>
              <w:rPr>
                <w:sz w:val="18"/>
                <w:szCs w:val="18"/>
              </w:rPr>
            </w:pPr>
            <w:r w:rsidRPr="001E7934">
              <w:rPr>
                <w:sz w:val="18"/>
                <w:szCs w:val="18"/>
              </w:rPr>
              <w:t>100%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w:t>
            </w:r>
          </w:p>
          <w:p w:rsidR="00FE3AB0" w:rsidRPr="001E7934" w:rsidRDefault="00FE3AB0" w:rsidP="00AA15BB">
            <w:pPr>
              <w:jc w:val="center"/>
              <w:rPr>
                <w:sz w:val="18"/>
                <w:szCs w:val="18"/>
              </w:rPr>
            </w:pPr>
            <w:r w:rsidRPr="001E7934">
              <w:rPr>
                <w:sz w:val="18"/>
                <w:szCs w:val="18"/>
              </w:rPr>
              <w:t>100%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14</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Увеличение числа посещений культурных мероприятий в три раза по сравнению с показателем 2019 года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proofErr w:type="gramStart"/>
            <w:r w:rsidRPr="001E7934">
              <w:rPr>
                <w:sz w:val="18"/>
                <w:szCs w:val="18"/>
              </w:rPr>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r w:rsidRPr="001E7934">
              <w:rPr>
                <w:sz w:val="18"/>
                <w:szCs w:val="18"/>
              </w:rPr>
              <w:t>378,4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286,2</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snapToGrid w:val="0"/>
              <w:jc w:val="center"/>
              <w:rPr>
                <w:sz w:val="18"/>
                <w:szCs w:val="18"/>
              </w:rPr>
            </w:pPr>
            <w:r w:rsidRPr="001E7934">
              <w:rPr>
                <w:sz w:val="18"/>
                <w:szCs w:val="18"/>
              </w:rPr>
              <w:t>987,23</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r w:rsidRPr="001E7934">
              <w:rPr>
                <w:sz w:val="18"/>
                <w:szCs w:val="18"/>
              </w:rPr>
              <w:t>1552,9</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r w:rsidRPr="001E7934">
              <w:rPr>
                <w:sz w:val="18"/>
                <w:szCs w:val="18"/>
              </w:rPr>
              <w:t>1599,72</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1719,43</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(+ 119,71)</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15</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Доля детей, обучающихся в учреждениях дополнительного образования культуры от общего количества детей школьного возраста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7,2</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r w:rsidRPr="001E7934">
              <w:rPr>
                <w:sz w:val="18"/>
                <w:szCs w:val="18"/>
              </w:rPr>
              <w:t>6,9</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snapToGrid w:val="0"/>
              <w:jc w:val="center"/>
              <w:rPr>
                <w:sz w:val="18"/>
                <w:szCs w:val="18"/>
              </w:rPr>
            </w:pPr>
            <w:r w:rsidRPr="001E7934">
              <w:rPr>
                <w:sz w:val="18"/>
                <w:szCs w:val="18"/>
              </w:rPr>
              <w:t>6,6</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r w:rsidRPr="001E7934">
              <w:rPr>
                <w:sz w:val="18"/>
                <w:szCs w:val="18"/>
              </w:rPr>
              <w:t>6,5</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napToGrid w:val="0"/>
              <w:jc w:val="center"/>
              <w:rPr>
                <w:sz w:val="18"/>
                <w:szCs w:val="18"/>
              </w:rPr>
            </w:pPr>
            <w:r w:rsidRPr="001E7934">
              <w:rPr>
                <w:sz w:val="18"/>
                <w:szCs w:val="18"/>
              </w:rPr>
              <w:t>6,9</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6,1</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(-0,8)</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ind w:firstLine="708"/>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sz w:val="18"/>
                <w:szCs w:val="18"/>
              </w:rPr>
            </w:pPr>
            <w:r w:rsidRPr="001E7934">
              <w:rPr>
                <w:sz w:val="18"/>
                <w:szCs w:val="18"/>
              </w:rPr>
              <w:t>Задача 4.</w:t>
            </w:r>
            <w:r w:rsidRPr="001E7934">
              <w:rPr>
                <w:color w:val="000000"/>
                <w:sz w:val="18"/>
                <w:szCs w:val="18"/>
              </w:rPr>
              <w:t xml:space="preserve"> Воспитание гражданственности и патриотизма у молодых граждан городского округа</w:t>
            </w:r>
            <w:r w:rsidRPr="001E7934">
              <w:rPr>
                <w:sz w:val="18"/>
                <w:szCs w:val="18"/>
              </w:rPr>
              <w:t>,</w:t>
            </w:r>
            <w:r w:rsidRPr="001E7934">
              <w:rPr>
                <w:color w:val="FF0000"/>
                <w:sz w:val="18"/>
                <w:szCs w:val="18"/>
              </w:rPr>
              <w:t xml:space="preserve"> </w:t>
            </w:r>
            <w:r w:rsidRPr="001E7934">
              <w:rPr>
                <w:sz w:val="18"/>
                <w:szCs w:val="18"/>
              </w:rPr>
              <w:t>на основе исторических и национально-культурных традиций</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16</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Доля молодых граждан, проживающих на территории Новоалександровского городского округа Ставропольского края (далее - </w:t>
            </w:r>
            <w:r w:rsidRPr="001E7934">
              <w:rPr>
                <w:sz w:val="18"/>
                <w:szCs w:val="18"/>
              </w:rPr>
              <w:lastRenderedPageBreak/>
              <w:t xml:space="preserve">молодые граждане), задействованных в мероприятиях по реализации молодежной политики в Новоалександровском городском округе Ставропольского края, в общем количестве молодых граждан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lastRenderedPageBreak/>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40,0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45,0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55,0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lastRenderedPageBreak/>
              <w:t>17</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ind w:right="-108"/>
              <w:jc w:val="both"/>
              <w:rPr>
                <w:sz w:val="18"/>
                <w:szCs w:val="18"/>
              </w:rPr>
            </w:pPr>
            <w:r w:rsidRPr="001E7934">
              <w:rPr>
                <w:sz w:val="18"/>
                <w:szCs w:val="18"/>
              </w:rPr>
              <w:t>Количество молодых граждан городского округа, участвующих в мероприятиях по патриотическому воспитанию детей и молодежи</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человек</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300,0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300,0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300,0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300,0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500,0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18</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ind w:right="-108"/>
              <w:jc w:val="both"/>
              <w:rPr>
                <w:sz w:val="18"/>
                <w:szCs w:val="18"/>
              </w:rPr>
            </w:pPr>
            <w:r w:rsidRPr="001E7934">
              <w:rPr>
                <w:sz w:val="18"/>
                <w:szCs w:val="18"/>
              </w:rPr>
              <w:t>Доля граждан, принимающих участие в волонтерском движении, в общем количестве молодых граждан</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12,0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14,0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19</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jc w:val="both"/>
              <w:rPr>
                <w:sz w:val="18"/>
                <w:szCs w:val="18"/>
              </w:rPr>
            </w:pPr>
            <w:r w:rsidRPr="001E7934">
              <w:rPr>
                <w:sz w:val="18"/>
                <w:szCs w:val="18"/>
              </w:rPr>
              <w:t>Численность детей, вовлеченных в деятельность Всероссийского детско-юношеского военно-патриотического общественного движения "ЮНАРМИЯ"</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тыс. чел.</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0,618</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1,042</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1,2</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1,4</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(+0,6)</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both"/>
              <w:rPr>
                <w:sz w:val="18"/>
                <w:szCs w:val="18"/>
              </w:rPr>
            </w:pPr>
            <w:r w:rsidRPr="001E7934">
              <w:rPr>
                <w:sz w:val="18"/>
                <w:szCs w:val="18"/>
              </w:rPr>
              <w:t>Задача 5. Повышение доступности качественного образования</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20</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74,4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75,0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75,0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75,0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76,0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76,0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21</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ind w:firstLine="34"/>
              <w:jc w:val="both"/>
              <w:rPr>
                <w:sz w:val="18"/>
                <w:szCs w:val="18"/>
              </w:rPr>
            </w:pPr>
            <w:r w:rsidRPr="001E7934">
              <w:rPr>
                <w:sz w:val="18"/>
                <w:szCs w:val="18"/>
              </w:rPr>
              <w:t>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7,0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13,0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22</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Доля общеобразовательных организаций, оснащенных в целях внедрения цифровой образовательной среды</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17,65</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29,42</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47,06</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52,95</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52,95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23</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28,0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34,0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35,0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37,0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37,0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24</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Уровень удовлетворенности населения Новоалександровского </w:t>
            </w:r>
            <w:r w:rsidRPr="001E7934">
              <w:rPr>
                <w:sz w:val="18"/>
                <w:szCs w:val="18"/>
              </w:rPr>
              <w:lastRenderedPageBreak/>
              <w:t xml:space="preserve">городского округа Ставропольского края качеством общего образования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lastRenderedPageBreak/>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72,0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23,0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74,0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74,5</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74,5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both"/>
              <w:rPr>
                <w:sz w:val="18"/>
                <w:szCs w:val="18"/>
              </w:rPr>
            </w:pPr>
            <w:r w:rsidRPr="001E7934">
              <w:rPr>
                <w:sz w:val="18"/>
                <w:szCs w:val="18"/>
              </w:rPr>
              <w:t>Задача 6. Создание эффективной поддержки социально уязвимых групп населения, поддержка старшего поколения и лиц с ограниченными возможностями и инвалидов</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25</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color w:val="000000"/>
                <w:sz w:val="18"/>
                <w:szCs w:val="18"/>
              </w:rPr>
            </w:pPr>
            <w:r w:rsidRPr="001E7934">
              <w:rPr>
                <w:color w:val="000000"/>
                <w:sz w:val="18"/>
                <w:szCs w:val="18"/>
              </w:rPr>
              <w:t>Доля граждан, которым предоставлены меры социальной поддержки, в общей численности, обратившихся и имеющих право на их получение в соответствии с законодательством Российской Федерации и законодательством Ставропольского края</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100,0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100,0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100,0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100,0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100,0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26</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color w:val="000000"/>
                <w:sz w:val="18"/>
                <w:szCs w:val="18"/>
              </w:rPr>
            </w:pPr>
            <w:r w:rsidRPr="001E7934">
              <w:rPr>
                <w:sz w:val="18"/>
                <w:szCs w:val="18"/>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42,5</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51,0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color w:val="000000"/>
                <w:sz w:val="18"/>
                <w:szCs w:val="18"/>
              </w:rPr>
            </w:pPr>
            <w:r w:rsidRPr="001E7934">
              <w:rPr>
                <w:color w:val="000000"/>
                <w:sz w:val="18"/>
                <w:szCs w:val="18"/>
              </w:rPr>
              <w:t>60,0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93,5</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62,0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93,5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(+31,5)</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27</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widowControl w:val="0"/>
              <w:suppressAutoHyphens w:val="0"/>
              <w:autoSpaceDE w:val="0"/>
              <w:autoSpaceDN w:val="0"/>
              <w:adjustRightInd w:val="0"/>
              <w:ind w:firstLine="34"/>
              <w:jc w:val="both"/>
              <w:rPr>
                <w:sz w:val="18"/>
                <w:szCs w:val="18"/>
                <w:lang w:eastAsia="ru-RU"/>
              </w:rPr>
            </w:pPr>
            <w:r w:rsidRPr="001E7934">
              <w:rPr>
                <w:sz w:val="18"/>
                <w:szCs w:val="18"/>
                <w:lang w:eastAsia="ru-RU"/>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4,2</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color w:val="000000"/>
                <w:sz w:val="18"/>
                <w:szCs w:val="18"/>
              </w:rPr>
            </w:pPr>
            <w:r w:rsidRPr="001E7934">
              <w:rPr>
                <w:color w:val="000000"/>
                <w:sz w:val="18"/>
                <w:szCs w:val="18"/>
              </w:rPr>
              <w:t>3,4</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6,3</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5,5</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5,7</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(+0,2)</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28</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color w:val="000000"/>
                <w:sz w:val="18"/>
                <w:szCs w:val="18"/>
              </w:rPr>
            </w:pPr>
            <w:r w:rsidRPr="001E7934">
              <w:rPr>
                <w:sz w:val="18"/>
                <w:szCs w:val="18"/>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44,6</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44,8</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color w:val="000000"/>
                <w:sz w:val="18"/>
                <w:szCs w:val="18"/>
              </w:rPr>
            </w:pPr>
            <w:r w:rsidRPr="001E7934">
              <w:rPr>
                <w:color w:val="000000"/>
                <w:sz w:val="18"/>
                <w:szCs w:val="18"/>
              </w:rPr>
              <w:t>44,7</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45,3</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44,7</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suppressAutoHyphens w:val="0"/>
              <w:jc w:val="center"/>
              <w:rPr>
                <w:rFonts w:eastAsia="Calibri"/>
                <w:sz w:val="18"/>
                <w:szCs w:val="18"/>
                <w:lang w:eastAsia="en-US"/>
              </w:rPr>
            </w:pPr>
            <w:r w:rsidRPr="001E7934">
              <w:rPr>
                <w:rFonts w:eastAsia="Calibri"/>
                <w:sz w:val="18"/>
                <w:szCs w:val="18"/>
                <w:lang w:eastAsia="en-US"/>
              </w:rPr>
              <w:t>56,2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(+11,5)</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sz w:val="18"/>
                <w:szCs w:val="18"/>
              </w:rPr>
            </w:pPr>
            <w:r w:rsidRPr="001E7934">
              <w:rPr>
                <w:sz w:val="18"/>
                <w:szCs w:val="18"/>
              </w:rPr>
              <w:t xml:space="preserve">Задача 7. Комфортная и безопасная среда для жизни, улучшение качества городской среды </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29</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Обьем жилищного строительства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тыс. кв. м</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5,7</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5,85</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6,9</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7,2</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9,23</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(+2,03)</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30</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Общая площадь жилых помещений, приходящаяся на 1 жителя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м</w:t>
            </w:r>
            <w:proofErr w:type="gramEnd"/>
            <w:r w:rsidRPr="001E7934">
              <w:rPr>
                <w:sz w:val="18"/>
                <w:szCs w:val="18"/>
                <w:vertAlign w:val="superscript"/>
              </w:rPr>
              <w:t>2</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24,1</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24,8</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25,3</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25,1</w:t>
            </w:r>
          </w:p>
          <w:p w:rsidR="00FE3AB0" w:rsidRPr="001E7934" w:rsidRDefault="00FE3AB0" w:rsidP="00AA15BB">
            <w:pPr>
              <w:jc w:val="center"/>
              <w:rPr>
                <w:sz w:val="18"/>
                <w:szCs w:val="18"/>
              </w:rPr>
            </w:pP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25,7</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25,7</w:t>
            </w:r>
          </w:p>
          <w:p w:rsidR="00FE3AB0" w:rsidRPr="001E7934" w:rsidRDefault="00FE3AB0" w:rsidP="00AA15BB">
            <w:pPr>
              <w:jc w:val="center"/>
              <w:rPr>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31</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Уровень газификации населенных пунктов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95,12</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95,12</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95,12</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95,12</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95,12</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95,12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32</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Доля населенных пунктов, обеспеченных питьевой водой надлежащего качества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80,49</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80,49</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80,49</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80,49</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80,49</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(+14,71)</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33</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Доля объектов общего имущества многоквартирных домов, по которым выполнены работы по капитальному ремонту в общем количестве объектов общего имущества </w:t>
            </w:r>
            <w:r w:rsidRPr="001E7934">
              <w:rPr>
                <w:sz w:val="18"/>
                <w:szCs w:val="18"/>
              </w:rPr>
              <w:lastRenderedPageBreak/>
              <w:t xml:space="preserve">многоквартирных домов, требующих капитального ремонта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sz w:val="18"/>
                <w:szCs w:val="18"/>
              </w:rPr>
            </w:pPr>
            <w:proofErr w:type="gramStart"/>
            <w:r w:rsidRPr="001E7934">
              <w:rPr>
                <w:sz w:val="18"/>
                <w:szCs w:val="18"/>
              </w:rPr>
              <w:lastRenderedPageBreak/>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38,0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56,0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42,0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44,3</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43,0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45,0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lastRenderedPageBreak/>
              <w:t>34</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Уровень охвата централизованным сбором коммунальных бытовых отходов населенных пунктов Новоалександровского городского округа Ставропольского края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lang w:val="en-US"/>
              </w:rPr>
            </w:pPr>
            <w:r w:rsidRPr="001E7934">
              <w:rPr>
                <w:sz w:val="18"/>
                <w:szCs w:val="18"/>
              </w:rPr>
              <w:t>100,0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100,0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35</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Увеличение протяженности автомобильных дорог общего пользования, находящихся в собственности Новоалександровского городского округа Ставропольского края, соответствующих нормативным требованиям транспортно-эксплуатационных показателей в общей протяженности автомобильных дорог общего пользования, находящихся в собственности, в результате работ по текущему ремонту и содержанию Новоалександровского городского округа Ставропольского края, вне границ населенных пунктов</w:t>
            </w:r>
          </w:p>
          <w:p w:rsidR="00FE3AB0" w:rsidRPr="001E7934" w:rsidRDefault="00FE3AB0" w:rsidP="00AA15BB">
            <w:pPr>
              <w:rPr>
                <w:sz w:val="18"/>
                <w:szCs w:val="18"/>
              </w:rPr>
            </w:pPr>
            <w:r w:rsidRPr="001E7934">
              <w:rPr>
                <w:sz w:val="18"/>
                <w:szCs w:val="18"/>
              </w:rPr>
              <w:t xml:space="preserve"> (</w:t>
            </w:r>
            <w:proofErr w:type="gramStart"/>
            <w:r w:rsidRPr="001E7934">
              <w:rPr>
                <w:sz w:val="18"/>
                <w:szCs w:val="18"/>
              </w:rPr>
              <w:t>км</w:t>
            </w:r>
            <w:proofErr w:type="gramEnd"/>
            <w:r w:rsidRPr="001E7934">
              <w:rPr>
                <w:sz w:val="18"/>
                <w:szCs w:val="18"/>
              </w:rPr>
              <w:t>)</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км</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96,8</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101,8</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103,2</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106,1</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108,1</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108,1</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ind w:left="-373" w:hanging="142"/>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36</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Доля автомобильных дорог местного значения, соответствующих нормативным требованиям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41,4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45,4</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47,1</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50,9</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48,7</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58,4</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(+9,7)</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37</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Общая протяженность территории Новоалександровского городского округа автомобильных дорог общего пользования, соответствующих нормативным требованиям к транспортно-эксплуатационным показателям, по состоянию на 31 декабря отчетного периода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км</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233,18</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255,7</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265,8</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287,7</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275,0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329,7</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(+54,7)</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38</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jc w:val="both"/>
              <w:rPr>
                <w:sz w:val="18"/>
                <w:szCs w:val="18"/>
              </w:rPr>
            </w:pPr>
            <w:r w:rsidRPr="001E7934">
              <w:rPr>
                <w:sz w:val="18"/>
                <w:szCs w:val="18"/>
                <w:shd w:val="clear" w:color="auto" w:fill="FFFFFF"/>
              </w:rPr>
              <w:t xml:space="preserve">Доля протяженности сетей уличного освещения режим работы, которых оптимизирован путем внедрения автоматизированных систем контроля времени, в отношении к общей протяженности осветительной сети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51,0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82,4</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77,73</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72,0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77,91</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78,91</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39</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jc w:val="both"/>
              <w:rPr>
                <w:sz w:val="18"/>
                <w:szCs w:val="18"/>
                <w:shd w:val="clear" w:color="auto" w:fill="FFFFFF"/>
              </w:rPr>
            </w:pPr>
            <w:r w:rsidRPr="001E7934">
              <w:rPr>
                <w:sz w:val="18"/>
                <w:szCs w:val="18"/>
              </w:rPr>
              <w:t xml:space="preserve">Доля площади территорий общего пользования благоустроенных в рамках проекта "Комфортная городская среда" от общего количества общественных </w:t>
            </w:r>
            <w:r w:rsidRPr="001E7934">
              <w:rPr>
                <w:sz w:val="18"/>
                <w:szCs w:val="18"/>
              </w:rPr>
              <w:lastRenderedPageBreak/>
              <w:t xml:space="preserve">территорий, нуждающиеся в благоустройстве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lastRenderedPageBreak/>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15,0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35,0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72,6</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77,0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(+4,4)</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lastRenderedPageBreak/>
              <w:t>40</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Доля муниципальных объектов социальной сферы, оснащенных</w:t>
            </w:r>
          </w:p>
          <w:p w:rsidR="00FE3AB0" w:rsidRPr="001E7934" w:rsidRDefault="00FE3AB0" w:rsidP="00AA15BB">
            <w:pPr>
              <w:rPr>
                <w:sz w:val="18"/>
                <w:szCs w:val="18"/>
              </w:rPr>
            </w:pPr>
            <w:proofErr w:type="gramStart"/>
            <w:r w:rsidRPr="001E7934">
              <w:rPr>
                <w:sz w:val="18"/>
                <w:szCs w:val="18"/>
              </w:rPr>
              <w:t>аппаратно</w:t>
            </w:r>
            <w:proofErr w:type="gramEnd"/>
            <w:r w:rsidRPr="001E7934">
              <w:rPr>
                <w:sz w:val="18"/>
                <w:szCs w:val="18"/>
              </w:rPr>
              <w:t xml:space="preserve"> – программными системами видеонаблюдения</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93,0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95,0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96,0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97,0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97,0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97,0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41</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jc w:val="both"/>
              <w:rPr>
                <w:rFonts w:eastAsia="Calibri"/>
                <w:sz w:val="18"/>
                <w:szCs w:val="18"/>
              </w:rPr>
            </w:pPr>
            <w:r w:rsidRPr="001E7934">
              <w:rPr>
                <w:sz w:val="18"/>
                <w:szCs w:val="18"/>
              </w:rPr>
              <w:t>Уровень соответствия объектов муниципальных учреждений согласно установленным техническим регламентам</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100,0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92,0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42</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jc w:val="both"/>
              <w:rPr>
                <w:sz w:val="18"/>
                <w:szCs w:val="18"/>
              </w:rPr>
            </w:pPr>
            <w:r w:rsidRPr="001E7934">
              <w:rPr>
                <w:sz w:val="18"/>
                <w:szCs w:val="18"/>
              </w:rPr>
              <w:t>Уровень реагирования сил и средств системы предупреждения и ликвидации чрезвычайных ситуаций городского округа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55,0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57,0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60,0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65,0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(+35)</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Задача 8. Повышение доступности и качества государственных и муниципальных услуг</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43</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jc w:val="both"/>
              <w:rPr>
                <w:sz w:val="18"/>
                <w:szCs w:val="18"/>
              </w:rPr>
            </w:pPr>
            <w:r w:rsidRPr="001E7934">
              <w:rPr>
                <w:sz w:val="18"/>
                <w:szCs w:val="18"/>
              </w:rPr>
              <w:t>Доля населения, использующих механизм получения государственных и муниципальных услуг в электронной форме</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11,03</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55,32</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58,4</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65,2</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68,0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68,2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(+0,2)</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15049" w:type="dxa"/>
            <w:gridSpan w:val="1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Цель 2. Развитие конкурентоспособной экономики инновационного типа, достойный эффективный труд и успешное предпринимательство</w:t>
            </w: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both"/>
              <w:rPr>
                <w:sz w:val="18"/>
                <w:szCs w:val="18"/>
              </w:rPr>
            </w:pPr>
            <w:r w:rsidRPr="001E7934">
              <w:rPr>
                <w:color w:val="000000"/>
                <w:sz w:val="18"/>
                <w:szCs w:val="18"/>
              </w:rPr>
              <w:t>Задача 9. Усиление стратегических позиций городского округа в аграрном и промышленном комплексах Ставропольского края, поддержка экспорта и развития внешнеэкономических связей, повышение производительности труда в базовых не сырьевых отраслях экономики</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44</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Производство продукции сельского хозяйства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themeColor="text1"/>
                <w:sz w:val="18"/>
                <w:szCs w:val="18"/>
              </w:rPr>
            </w:pPr>
            <w:r w:rsidRPr="001E7934">
              <w:rPr>
                <w:sz w:val="18"/>
                <w:szCs w:val="18"/>
              </w:rPr>
              <w:t>млн. руб.</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11815</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themeColor="text1"/>
                <w:sz w:val="18"/>
                <w:szCs w:val="18"/>
              </w:rPr>
            </w:pPr>
            <w:r w:rsidRPr="001E7934">
              <w:rPr>
                <w:color w:val="000000" w:themeColor="text1"/>
                <w:sz w:val="18"/>
                <w:szCs w:val="18"/>
              </w:rPr>
              <w:t>12004,0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color w:val="000000" w:themeColor="text1"/>
                <w:sz w:val="18"/>
                <w:szCs w:val="18"/>
              </w:rPr>
            </w:pPr>
            <w:r w:rsidRPr="001E7934">
              <w:rPr>
                <w:color w:val="000000" w:themeColor="text1"/>
                <w:sz w:val="18"/>
                <w:szCs w:val="18"/>
              </w:rPr>
              <w:t>16136,0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17767,8</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themeColor="text1"/>
                <w:sz w:val="18"/>
                <w:szCs w:val="18"/>
              </w:rPr>
            </w:pPr>
            <w:r w:rsidRPr="001E7934">
              <w:rPr>
                <w:color w:val="000000" w:themeColor="text1"/>
                <w:sz w:val="18"/>
                <w:szCs w:val="18"/>
              </w:rPr>
              <w:t>12100,0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20259,2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(+8159,2)</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45</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Темп роста отгруженных товаров собственного производства, выполненных работ и услуг собственными силами по виду деятельности «Промышленность»</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124,1</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133,4</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157,7</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101,6</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108,3</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92,8</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(-15,5)</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both"/>
              <w:rPr>
                <w:sz w:val="18"/>
                <w:szCs w:val="18"/>
              </w:rPr>
            </w:pPr>
            <w:r w:rsidRPr="001E7934">
              <w:rPr>
                <w:bCs/>
                <w:sz w:val="18"/>
                <w:szCs w:val="18"/>
              </w:rPr>
              <w:t>В августе 2023 года приостановлена деятельность ООО СХП «Югроспром» (остановлена работа 7 цехов)</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46</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Прирост компаний экспортеров из числа малого и среднего предпринимательства по итогам внедрения Регионального экспортного стандарта 2.0</w:t>
            </w:r>
          </w:p>
          <w:p w:rsidR="00FE3AB0" w:rsidRPr="001E7934" w:rsidRDefault="00FE3AB0" w:rsidP="00AA15BB">
            <w:pPr>
              <w:rPr>
                <w:sz w:val="18"/>
                <w:szCs w:val="18"/>
              </w:rPr>
            </w:pPr>
            <w:r w:rsidRPr="001E7934">
              <w:rPr>
                <w:sz w:val="18"/>
                <w:szCs w:val="18"/>
              </w:rPr>
              <w:t>(</w:t>
            </w:r>
            <w:proofErr w:type="gramStart"/>
            <w:r w:rsidRPr="001E7934">
              <w:rPr>
                <w:sz w:val="18"/>
                <w:szCs w:val="18"/>
              </w:rPr>
              <w:t>с</w:t>
            </w:r>
            <w:proofErr w:type="gramEnd"/>
            <w:r w:rsidRPr="001E7934">
              <w:rPr>
                <w:sz w:val="18"/>
                <w:szCs w:val="18"/>
              </w:rPr>
              <w:t xml:space="preserve"> нарастающим итогом)</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ед.</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both"/>
              <w:rPr>
                <w:sz w:val="18"/>
                <w:szCs w:val="18"/>
              </w:rPr>
            </w:pPr>
            <w:r w:rsidRPr="001E7934">
              <w:rPr>
                <w:sz w:val="18"/>
                <w:szCs w:val="18"/>
              </w:rPr>
              <w:t>Экспортную деятельность не осуществляли 2 организации:</w:t>
            </w:r>
          </w:p>
          <w:p w:rsidR="00FE3AB0" w:rsidRPr="001E7934" w:rsidRDefault="00FE3AB0" w:rsidP="00AA15BB">
            <w:pPr>
              <w:jc w:val="both"/>
              <w:rPr>
                <w:sz w:val="18"/>
                <w:szCs w:val="18"/>
              </w:rPr>
            </w:pPr>
            <w:r w:rsidRPr="001E7934">
              <w:rPr>
                <w:sz w:val="18"/>
                <w:szCs w:val="18"/>
              </w:rPr>
              <w:t>КФХ «Колесников» и ООО СХП «Югроспром» (приостановлена деятельность с августа месяца 2023г.)</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47</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Количество средних и крупных предприятий, базовых не сырьевых </w:t>
            </w:r>
            <w:r w:rsidRPr="001E7934">
              <w:rPr>
                <w:sz w:val="18"/>
                <w:szCs w:val="18"/>
              </w:rPr>
              <w:lastRenderedPageBreak/>
              <w:t>отраслей экономики, вовлеченных в национальный проект «Производительность труда и поддержка занятости»</w:t>
            </w:r>
          </w:p>
          <w:p w:rsidR="00FE3AB0" w:rsidRPr="001E7934" w:rsidRDefault="00FE3AB0" w:rsidP="00AA15BB">
            <w:pPr>
              <w:rPr>
                <w:sz w:val="18"/>
                <w:szCs w:val="18"/>
              </w:rPr>
            </w:pPr>
            <w:r w:rsidRPr="001E7934">
              <w:rPr>
                <w:sz w:val="18"/>
                <w:szCs w:val="18"/>
              </w:rPr>
              <w:t>(</w:t>
            </w:r>
            <w:proofErr w:type="gramStart"/>
            <w:r w:rsidRPr="001E7934">
              <w:rPr>
                <w:sz w:val="18"/>
                <w:szCs w:val="18"/>
              </w:rPr>
              <w:t>с</w:t>
            </w:r>
            <w:proofErr w:type="gramEnd"/>
            <w:r w:rsidRPr="001E7934">
              <w:rPr>
                <w:sz w:val="18"/>
                <w:szCs w:val="18"/>
              </w:rPr>
              <w:t xml:space="preserve"> нарастающим итогом)</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lastRenderedPageBreak/>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2,0</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lastRenderedPageBreak/>
              <w:t>48</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Количество высокопроизводительных рабочих мест во внебюджетном секторе экономики</w:t>
            </w:r>
          </w:p>
          <w:p w:rsidR="00FE3AB0" w:rsidRPr="001E7934" w:rsidRDefault="00FE3AB0" w:rsidP="00AA15BB">
            <w:pPr>
              <w:rPr>
                <w:sz w:val="18"/>
                <w:szCs w:val="18"/>
              </w:rPr>
            </w:pPr>
            <w:r w:rsidRPr="001E7934">
              <w:rPr>
                <w:sz w:val="18"/>
                <w:szCs w:val="18"/>
              </w:rPr>
              <w:t>(</w:t>
            </w:r>
            <w:proofErr w:type="gramStart"/>
            <w:r w:rsidRPr="001E7934">
              <w:rPr>
                <w:sz w:val="18"/>
                <w:szCs w:val="18"/>
              </w:rPr>
              <w:t>с</w:t>
            </w:r>
            <w:proofErr w:type="gramEnd"/>
            <w:r w:rsidRPr="001E7934">
              <w:rPr>
                <w:sz w:val="18"/>
                <w:szCs w:val="18"/>
              </w:rPr>
              <w:t xml:space="preserve"> нарастающим итогом)</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человек</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3886</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4428</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4715</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4997</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5275</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5281</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themeColor="text1"/>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color w:val="000000" w:themeColor="text1"/>
                <w:sz w:val="18"/>
                <w:szCs w:val="18"/>
              </w:rPr>
              <w:t>Задача 10. Повышение инвестиционной привлекательности территории для инвестирования</w:t>
            </w:r>
          </w:p>
        </w:tc>
      </w:tr>
      <w:tr w:rsidR="00FE3AB0" w:rsidRPr="001E7934" w:rsidTr="001E7934">
        <w:trPr>
          <w:trHeight w:val="1550"/>
        </w:trPr>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49</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Объем инвестиций в основной капитал по полному кругу учета организаций</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млн. руб.</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3130,0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8594,6</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4453,1</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rFonts w:eastAsia="Arial Unicode MS"/>
                <w:kern w:val="1"/>
                <w:sz w:val="18"/>
                <w:szCs w:val="18"/>
                <w:lang w:eastAsia="hi-IN" w:bidi="hi-IN"/>
              </w:rPr>
              <w:t>4132,5</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5574,8</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rFonts w:eastAsia="Arial Unicode MS"/>
                <w:kern w:val="1"/>
                <w:sz w:val="18"/>
                <w:szCs w:val="18"/>
                <w:lang w:eastAsia="hi-IN" w:bidi="hi-IN"/>
              </w:rPr>
              <w:t>5392,2</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(-182,6)</w:t>
            </w:r>
          </w:p>
        </w:tc>
        <w:tc>
          <w:tcPr>
            <w:tcW w:w="1417" w:type="dxa"/>
            <w:tcBorders>
              <w:top w:val="single" w:sz="4" w:space="0" w:color="00000A"/>
              <w:left w:val="single" w:sz="4" w:space="0" w:color="00000A"/>
              <w:bottom w:val="single" w:sz="4" w:space="0" w:color="auto"/>
              <w:right w:val="single" w:sz="4" w:space="0" w:color="00000A"/>
            </w:tcBorders>
          </w:tcPr>
          <w:p w:rsidR="00FE3AB0" w:rsidRPr="001E7934" w:rsidRDefault="00FE3AB0" w:rsidP="00AA15BB">
            <w:pPr>
              <w:jc w:val="both"/>
              <w:rPr>
                <w:sz w:val="18"/>
                <w:szCs w:val="18"/>
              </w:rPr>
            </w:pPr>
            <w:r w:rsidRPr="001E7934">
              <w:rPr>
                <w:sz w:val="18"/>
                <w:szCs w:val="18"/>
              </w:rPr>
              <w:t xml:space="preserve"> </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50</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Объем инвестиций в основной капитал (по крупным и средним организациям)</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млн. руб.</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1629,4</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7593,6</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3243,3</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2015,1</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3900,0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2985,9</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(-914,1)</w:t>
            </w:r>
          </w:p>
        </w:tc>
        <w:tc>
          <w:tcPr>
            <w:tcW w:w="1417" w:type="dxa"/>
            <w:tcBorders>
              <w:top w:val="single" w:sz="4" w:space="0" w:color="auto"/>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Задача 11. Повышение уровня доходов населения</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51</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color w:val="000000"/>
                <w:sz w:val="18"/>
                <w:szCs w:val="18"/>
              </w:rPr>
              <w:t>Среднемесячная заработная плата работников</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color w:val="000000"/>
                <w:sz w:val="18"/>
                <w:szCs w:val="18"/>
              </w:rPr>
              <w:t>руб.</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28420,0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31961,3</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35568,1</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41772,3</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38864</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46012,6</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(+7148,6)</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52</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Темп роста среднемесячной заработной платы работников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r w:rsidRPr="001E7934">
              <w:rPr>
                <w:sz w:val="18"/>
                <w:szCs w:val="18"/>
              </w:rPr>
              <w:t xml:space="preserve"> к соответствующему периоду прошлого года</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119,6</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107,5</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110,4</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117,0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107,0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110,1</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(+3,1)</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53</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color w:val="000000"/>
                <w:sz w:val="18"/>
                <w:szCs w:val="18"/>
              </w:rPr>
              <w:t>Реальный темп роста социальных выплат</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color w:val="000000"/>
                <w:sz w:val="18"/>
                <w:szCs w:val="18"/>
              </w:rPr>
              <w:t>в</w:t>
            </w:r>
            <w:proofErr w:type="gramEnd"/>
            <w:r w:rsidRPr="001E7934">
              <w:rPr>
                <w:color w:val="000000"/>
                <w:sz w:val="18"/>
                <w:szCs w:val="18"/>
              </w:rPr>
              <w:t xml:space="preserve"> процентах к предыдущему году</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172,8</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102,8</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102,5</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104,8</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104,8</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54</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color w:val="000000"/>
                <w:sz w:val="18"/>
                <w:szCs w:val="18"/>
              </w:rPr>
              <w:t>Уровень зарегистрированной безработицы (на конец года)</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rPr>
                <w:color w:val="000000"/>
                <w:sz w:val="18"/>
                <w:szCs w:val="18"/>
              </w:rPr>
            </w:pPr>
            <w:proofErr w:type="gramStart"/>
            <w:r w:rsidRPr="001E7934">
              <w:rPr>
                <w:sz w:val="18"/>
                <w:szCs w:val="18"/>
              </w:rPr>
              <w:t>процентов</w:t>
            </w:r>
            <w:proofErr w:type="gramEnd"/>
          </w:p>
          <w:p w:rsidR="00FE3AB0" w:rsidRPr="001E7934" w:rsidRDefault="00FE3AB0" w:rsidP="00AA15BB">
            <w:pPr>
              <w:jc w:val="center"/>
              <w:rPr>
                <w:sz w:val="18"/>
                <w:szCs w:val="18"/>
              </w:rPr>
            </w:pP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0,3</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3,7</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0,8</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0,5</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0,7</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0,4</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(-0,3)</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55</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Оборот розничной торговли (по крупным и средним организациям)</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млн. руб.</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r w:rsidRPr="001E7934">
              <w:rPr>
                <w:color w:val="000000"/>
                <w:sz w:val="18"/>
                <w:szCs w:val="18"/>
              </w:rPr>
              <w:t>1650,2</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1784,0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2238,5</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2707,7</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2930,5</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3271,1</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(+340,6 )</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Задача 12. Развитие малого и среднего предпринимательства</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56</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Численность занятых в сфере малого и среднего предпринимательства, включая индивидуальных предпринимателей</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чел. (на конец года)</w:t>
            </w:r>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5297</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7614</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6403</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rFonts w:eastAsia="Calibri"/>
                <w:sz w:val="18"/>
                <w:szCs w:val="18"/>
                <w:lang w:eastAsia="en-US"/>
              </w:rPr>
              <w:t>6780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6500,0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rFonts w:eastAsia="Calibri"/>
                <w:sz w:val="18"/>
                <w:szCs w:val="18"/>
                <w:lang w:eastAsia="en-US"/>
              </w:rPr>
              <w:t>6785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(+285)</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57</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 xml:space="preserve">Число субъектов малого и среднего предпринимательства в расчёте на 10 тыс. населения </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единиц</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368,9</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336,3</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413,1</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527,6</w:t>
            </w:r>
          </w:p>
          <w:p w:rsidR="00FE3AB0" w:rsidRPr="001E7934" w:rsidRDefault="00FE3AB0" w:rsidP="00AA15BB">
            <w:pPr>
              <w:jc w:val="center"/>
              <w:rPr>
                <w:sz w:val="18"/>
                <w:szCs w:val="18"/>
              </w:rPr>
            </w:pP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413,5</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628,5</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(+215)</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rPr>
          <w:trHeight w:val="1975"/>
        </w:trPr>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lastRenderedPageBreak/>
              <w:t>58</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rPr>
                <w:sz w:val="18"/>
                <w:szCs w:val="18"/>
              </w:rPr>
            </w:pPr>
            <w:r w:rsidRPr="001E7934">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29,5</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41,9</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32,2</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35,8</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32,7</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22,0</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tabs>
                <w:tab w:val="left" w:pos="555"/>
                <w:tab w:val="center" w:pos="669"/>
              </w:tabs>
              <w:jc w:val="center"/>
              <w:rPr>
                <w:sz w:val="18"/>
                <w:szCs w:val="18"/>
              </w:rPr>
            </w:pPr>
            <w:r w:rsidRPr="001E7934">
              <w:rPr>
                <w:sz w:val="18"/>
                <w:szCs w:val="18"/>
              </w:rPr>
              <w:t>(-10,7)</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color w:val="000000"/>
                <w:sz w:val="18"/>
                <w:szCs w:val="18"/>
              </w:rPr>
            </w:pPr>
          </w:p>
        </w:tc>
        <w:tc>
          <w:tcPr>
            <w:tcW w:w="14341" w:type="dxa"/>
            <w:gridSpan w:val="12"/>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color w:val="000000"/>
                <w:sz w:val="18"/>
                <w:szCs w:val="18"/>
              </w:rPr>
              <w:t>Задача 13. Управление, распоряжение и контроль за использованием муниципального имущества и земельных участков муниципальной собственности, рациональное их использование</w:t>
            </w: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59</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tabs>
                <w:tab w:val="left" w:pos="851"/>
              </w:tabs>
              <w:jc w:val="both"/>
              <w:rPr>
                <w:b/>
                <w:sz w:val="18"/>
                <w:szCs w:val="18"/>
              </w:rPr>
            </w:pPr>
            <w:r w:rsidRPr="001E7934">
              <w:rPr>
                <w:sz w:val="18"/>
                <w:szCs w:val="18"/>
              </w:rPr>
              <w:t>Выполнение плановых показателей по доходам от использования объектов движимого, недвижимого имущества муниципальной собственности Новоалександровского городского округа Ставропольского края (за исключением земельных участков), имущественных комплексов муниципальных унитарных предприятий Новоалександровского городского округа Ставропольского края, муниципальных учреждений Новоалександровского городского округа Ставропольского края, земельных участков муниципальной собственности</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121,27</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99,74</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107,0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lang w:val="en-US"/>
              </w:rPr>
            </w:pPr>
            <w:r w:rsidRPr="001E7934">
              <w:rPr>
                <w:sz w:val="18"/>
                <w:szCs w:val="18"/>
              </w:rPr>
              <w:t>1</w:t>
            </w:r>
            <w:r w:rsidRPr="001E7934">
              <w:rPr>
                <w:sz w:val="18"/>
                <w:szCs w:val="18"/>
                <w:lang w:val="en-US"/>
              </w:rPr>
              <w:t>11.08</w:t>
            </w: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w:t>
            </w:r>
            <w:r w:rsidRPr="001E7934">
              <w:rPr>
                <w:sz w:val="18"/>
                <w:szCs w:val="18"/>
                <w:lang w:val="en-US"/>
              </w:rPr>
              <w:t>11,08</w:t>
            </w:r>
            <w:r w:rsidRPr="001E7934">
              <w:rPr>
                <w:sz w:val="18"/>
                <w:szCs w:val="18"/>
              </w:rPr>
              <w:t>)</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r w:rsidR="00FE3AB0" w:rsidRPr="001E7934" w:rsidTr="001E7934">
        <w:tc>
          <w:tcPr>
            <w:tcW w:w="708"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60</w:t>
            </w:r>
          </w:p>
        </w:tc>
        <w:tc>
          <w:tcPr>
            <w:tcW w:w="3119" w:type="dxa"/>
            <w:tcBorders>
              <w:top w:val="single" w:sz="4" w:space="0" w:color="00000A"/>
              <w:left w:val="single" w:sz="4" w:space="0" w:color="00000A"/>
              <w:bottom w:val="single" w:sz="4" w:space="0" w:color="00000A"/>
              <w:right w:val="nil"/>
            </w:tcBorders>
          </w:tcPr>
          <w:p w:rsidR="00FE3AB0" w:rsidRPr="001E7934" w:rsidRDefault="00FE3AB0" w:rsidP="00AA15BB">
            <w:pPr>
              <w:tabs>
                <w:tab w:val="left" w:pos="851"/>
              </w:tabs>
              <w:jc w:val="both"/>
              <w:rPr>
                <w:sz w:val="18"/>
                <w:szCs w:val="18"/>
              </w:rPr>
            </w:pPr>
            <w:r w:rsidRPr="001E7934">
              <w:rPr>
                <w:sz w:val="18"/>
                <w:szCs w:val="18"/>
              </w:rPr>
              <w:t>Доля земельных участков, на которых зарегистрировано право муниципальной собственности Новоалександровского городского округа Ставропольского края в общем количестве земельных участков, подлежащих регистрации в муниципальную собственность Новоалександровского городского округа Ставропольского края</w:t>
            </w:r>
          </w:p>
        </w:tc>
        <w:tc>
          <w:tcPr>
            <w:tcW w:w="1701"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roofErr w:type="gramStart"/>
            <w:r w:rsidRPr="001E7934">
              <w:rPr>
                <w:sz w:val="18"/>
                <w:szCs w:val="18"/>
              </w:rPr>
              <w:t>процентов</w:t>
            </w:r>
            <w:proofErr w:type="gramEnd"/>
          </w:p>
        </w:tc>
        <w:tc>
          <w:tcPr>
            <w:tcW w:w="127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83,0</w:t>
            </w:r>
          </w:p>
        </w:tc>
        <w:tc>
          <w:tcPr>
            <w:tcW w:w="992"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88,0</w:t>
            </w:r>
          </w:p>
        </w:tc>
        <w:tc>
          <w:tcPr>
            <w:tcW w:w="1134" w:type="dxa"/>
            <w:tcBorders>
              <w:top w:val="single" w:sz="4" w:space="0" w:color="00000A"/>
              <w:left w:val="single" w:sz="4" w:space="0" w:color="00000A"/>
              <w:bottom w:val="single" w:sz="4" w:space="0" w:color="00000A"/>
              <w:right w:val="nil"/>
            </w:tcBorders>
          </w:tcPr>
          <w:p w:rsidR="00FE3AB0" w:rsidRPr="001E7934" w:rsidRDefault="00FE3AB0" w:rsidP="00AA15BB">
            <w:pPr>
              <w:jc w:val="center"/>
              <w:rPr>
                <w:sz w:val="18"/>
                <w:szCs w:val="18"/>
              </w:rPr>
            </w:pPr>
            <w:r w:rsidRPr="001E7934">
              <w:rPr>
                <w:sz w:val="18"/>
                <w:szCs w:val="18"/>
              </w:rPr>
              <w:t>99,37</w:t>
            </w:r>
          </w:p>
        </w:tc>
        <w:tc>
          <w:tcPr>
            <w:tcW w:w="1016"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tc>
        <w:tc>
          <w:tcPr>
            <w:tcW w:w="1678" w:type="dxa"/>
            <w:gridSpan w:val="3"/>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93,0</w:t>
            </w:r>
          </w:p>
        </w:tc>
        <w:tc>
          <w:tcPr>
            <w:tcW w:w="87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100,0</w:t>
            </w:r>
          </w:p>
          <w:p w:rsidR="00FE3AB0" w:rsidRPr="001E7934" w:rsidRDefault="00FE3AB0" w:rsidP="00AA15BB">
            <w:pPr>
              <w:jc w:val="center"/>
              <w:rPr>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r w:rsidRPr="001E7934">
              <w:rPr>
                <w:sz w:val="18"/>
                <w:szCs w:val="18"/>
              </w:rPr>
              <w:t>(+</w:t>
            </w:r>
            <w:r w:rsidRPr="001E7934">
              <w:rPr>
                <w:sz w:val="18"/>
                <w:szCs w:val="18"/>
                <w:lang w:val="en-US"/>
              </w:rPr>
              <w:t>7</w:t>
            </w:r>
            <w:r w:rsidRPr="001E7934">
              <w:rPr>
                <w:sz w:val="18"/>
                <w:szCs w:val="18"/>
              </w:rPr>
              <w:t>)</w:t>
            </w:r>
          </w:p>
        </w:tc>
        <w:tc>
          <w:tcPr>
            <w:tcW w:w="1417" w:type="dxa"/>
            <w:tcBorders>
              <w:top w:val="single" w:sz="4" w:space="0" w:color="00000A"/>
              <w:left w:val="single" w:sz="4" w:space="0" w:color="00000A"/>
              <w:bottom w:val="single" w:sz="4" w:space="0" w:color="00000A"/>
              <w:right w:val="single" w:sz="4" w:space="0" w:color="00000A"/>
            </w:tcBorders>
          </w:tcPr>
          <w:p w:rsidR="00FE3AB0" w:rsidRPr="001E7934" w:rsidRDefault="00FE3AB0" w:rsidP="00AA15BB">
            <w:pPr>
              <w:jc w:val="center"/>
              <w:rPr>
                <w:sz w:val="18"/>
                <w:szCs w:val="18"/>
              </w:rPr>
            </w:pPr>
          </w:p>
        </w:tc>
      </w:tr>
    </w:tbl>
    <w:p w:rsidR="00FE3AB0" w:rsidRPr="001E7934" w:rsidRDefault="00FE3AB0" w:rsidP="00182305">
      <w:pPr>
        <w:rPr>
          <w:sz w:val="18"/>
          <w:szCs w:val="18"/>
        </w:rPr>
      </w:pPr>
    </w:p>
    <w:sectPr w:rsidR="00FE3AB0" w:rsidRPr="001E7934" w:rsidSect="00182305">
      <w:pgSz w:w="16838" w:h="11906" w:orient="landscape"/>
      <w:pgMar w:top="141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3C" w:rsidRDefault="0008043C" w:rsidP="00856613">
      <w:r>
        <w:separator/>
      </w:r>
    </w:p>
  </w:endnote>
  <w:endnote w:type="continuationSeparator" w:id="0">
    <w:p w:rsidR="0008043C" w:rsidRDefault="0008043C" w:rsidP="0085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3C" w:rsidRDefault="0008043C" w:rsidP="00856613">
      <w:r>
        <w:separator/>
      </w:r>
    </w:p>
  </w:footnote>
  <w:footnote w:type="continuationSeparator" w:id="0">
    <w:p w:rsidR="0008043C" w:rsidRDefault="0008043C" w:rsidP="0085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583"/>
    <w:multiLevelType w:val="hybridMultilevel"/>
    <w:tmpl w:val="7A3CB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44FC0"/>
    <w:multiLevelType w:val="hybridMultilevel"/>
    <w:tmpl w:val="3B14C1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1C1BAE"/>
    <w:multiLevelType w:val="hybridMultilevel"/>
    <w:tmpl w:val="C2AE4072"/>
    <w:lvl w:ilvl="0" w:tplc="56DEEDE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18B5D61"/>
    <w:multiLevelType w:val="multilevel"/>
    <w:tmpl w:val="7C1A6584"/>
    <w:lvl w:ilvl="0">
      <w:start w:val="1"/>
      <w:numFmt w:val="decimal"/>
      <w:pStyle w:val="1"/>
      <w:lvlText w:val="%1"/>
      <w:lvlJc w:val="left"/>
      <w:pPr>
        <w:ind w:left="716" w:hanging="432"/>
      </w:pPr>
      <w:rPr>
        <w:rFonts w:hint="default"/>
      </w:rPr>
    </w:lvl>
    <w:lvl w:ilvl="1">
      <w:start w:val="1"/>
      <w:numFmt w:val="decimal"/>
      <w:pStyle w:val="2"/>
      <w:lvlText w:val="%1.%2"/>
      <w:lvlJc w:val="left"/>
      <w:pPr>
        <w:ind w:left="1427" w:hanging="576"/>
      </w:pPr>
      <w:rPr>
        <w:rFonts w:hint="default"/>
        <w:b w:val="0"/>
        <w:i w:val="0"/>
        <w:lang w:val="ru-RU"/>
      </w:rPr>
    </w:lvl>
    <w:lvl w:ilvl="2">
      <w:start w:val="1"/>
      <w:numFmt w:val="decimal"/>
      <w:pStyle w:val="3"/>
      <w:lvlText w:val="%1.%2.%3"/>
      <w:lvlJc w:val="left"/>
      <w:pPr>
        <w:ind w:left="722" w:hanging="720"/>
      </w:pPr>
      <w:rPr>
        <w:rFonts w:hint="default"/>
      </w:rPr>
    </w:lvl>
    <w:lvl w:ilvl="3">
      <w:start w:val="1"/>
      <w:numFmt w:val="decimal"/>
      <w:pStyle w:val="4"/>
      <w:lvlText w:val="%1.%2.%3.%4"/>
      <w:lvlJc w:val="left"/>
      <w:pPr>
        <w:ind w:left="298" w:hanging="864"/>
      </w:pPr>
      <w:rPr>
        <w:rFonts w:hint="default"/>
      </w:rPr>
    </w:lvl>
    <w:lvl w:ilvl="4">
      <w:start w:val="1"/>
      <w:numFmt w:val="decimal"/>
      <w:pStyle w:val="5"/>
      <w:lvlText w:val="%1.%2.%3.%4.%5"/>
      <w:lvlJc w:val="left"/>
      <w:pPr>
        <w:ind w:left="442" w:hanging="1008"/>
      </w:pPr>
      <w:rPr>
        <w:rFonts w:hint="default"/>
      </w:rPr>
    </w:lvl>
    <w:lvl w:ilvl="5">
      <w:start w:val="1"/>
      <w:numFmt w:val="decimal"/>
      <w:pStyle w:val="6"/>
      <w:lvlText w:val="%1.%2.%3.%4.%5.%6"/>
      <w:lvlJc w:val="left"/>
      <w:pPr>
        <w:ind w:left="586" w:hanging="1152"/>
      </w:pPr>
      <w:rPr>
        <w:rFonts w:hint="default"/>
      </w:rPr>
    </w:lvl>
    <w:lvl w:ilvl="6">
      <w:start w:val="1"/>
      <w:numFmt w:val="decimal"/>
      <w:lvlText w:val="%1.%2.%3.%4.%5.%6.%7"/>
      <w:lvlJc w:val="left"/>
      <w:pPr>
        <w:ind w:left="730" w:hanging="1296"/>
      </w:pPr>
      <w:rPr>
        <w:rFonts w:hint="default"/>
      </w:rPr>
    </w:lvl>
    <w:lvl w:ilvl="7">
      <w:start w:val="1"/>
      <w:numFmt w:val="decimal"/>
      <w:lvlText w:val="%1.%2.%3.%4.%5.%6.%7.%8"/>
      <w:lvlJc w:val="left"/>
      <w:pPr>
        <w:ind w:left="874" w:hanging="1440"/>
      </w:pPr>
      <w:rPr>
        <w:rFonts w:hint="default"/>
      </w:rPr>
    </w:lvl>
    <w:lvl w:ilvl="8">
      <w:start w:val="1"/>
      <w:numFmt w:val="decimal"/>
      <w:lvlText w:val="%1.%2.%3.%4.%5.%6.%7.%8.%9"/>
      <w:lvlJc w:val="left"/>
      <w:pPr>
        <w:ind w:left="1018" w:hanging="1584"/>
      </w:pPr>
      <w:rPr>
        <w:rFonts w:hint="default"/>
      </w:rPr>
    </w:lvl>
  </w:abstractNum>
  <w:abstractNum w:abstractNumId="4">
    <w:nsid w:val="6B056B4B"/>
    <w:multiLevelType w:val="hybridMultilevel"/>
    <w:tmpl w:val="8C8A2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F33775"/>
    <w:multiLevelType w:val="hybridMultilevel"/>
    <w:tmpl w:val="5628975C"/>
    <w:lvl w:ilvl="0" w:tplc="8014098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A7"/>
    <w:rsid w:val="000665A0"/>
    <w:rsid w:val="0008043C"/>
    <w:rsid w:val="00096834"/>
    <w:rsid w:val="000B2B74"/>
    <w:rsid w:val="000E0316"/>
    <w:rsid w:val="000E6A5D"/>
    <w:rsid w:val="000F0210"/>
    <w:rsid w:val="00182305"/>
    <w:rsid w:val="001B214F"/>
    <w:rsid w:val="001B6DE6"/>
    <w:rsid w:val="001E7934"/>
    <w:rsid w:val="00200136"/>
    <w:rsid w:val="00245E09"/>
    <w:rsid w:val="0027058F"/>
    <w:rsid w:val="002C67F1"/>
    <w:rsid w:val="002F27D0"/>
    <w:rsid w:val="002F3EF3"/>
    <w:rsid w:val="00305147"/>
    <w:rsid w:val="0031057A"/>
    <w:rsid w:val="00316664"/>
    <w:rsid w:val="00332DF2"/>
    <w:rsid w:val="0035678B"/>
    <w:rsid w:val="00361DF4"/>
    <w:rsid w:val="00385E9D"/>
    <w:rsid w:val="003913A6"/>
    <w:rsid w:val="003E7A78"/>
    <w:rsid w:val="00421F25"/>
    <w:rsid w:val="0043083B"/>
    <w:rsid w:val="00470349"/>
    <w:rsid w:val="00470655"/>
    <w:rsid w:val="00480921"/>
    <w:rsid w:val="004A5795"/>
    <w:rsid w:val="004B0F5F"/>
    <w:rsid w:val="004D4FB9"/>
    <w:rsid w:val="004D561A"/>
    <w:rsid w:val="004D69F9"/>
    <w:rsid w:val="00505D00"/>
    <w:rsid w:val="00513DF0"/>
    <w:rsid w:val="00527906"/>
    <w:rsid w:val="00585BF0"/>
    <w:rsid w:val="00587A9D"/>
    <w:rsid w:val="005A2D01"/>
    <w:rsid w:val="005C0EB3"/>
    <w:rsid w:val="005C73A7"/>
    <w:rsid w:val="005E7ED6"/>
    <w:rsid w:val="00643D15"/>
    <w:rsid w:val="00697677"/>
    <w:rsid w:val="006A22F8"/>
    <w:rsid w:val="00731C97"/>
    <w:rsid w:val="00743162"/>
    <w:rsid w:val="007573D7"/>
    <w:rsid w:val="00757D35"/>
    <w:rsid w:val="00790348"/>
    <w:rsid w:val="007A15F1"/>
    <w:rsid w:val="007E0669"/>
    <w:rsid w:val="007F13FF"/>
    <w:rsid w:val="007F1809"/>
    <w:rsid w:val="00837613"/>
    <w:rsid w:val="008551C1"/>
    <w:rsid w:val="00856613"/>
    <w:rsid w:val="00863522"/>
    <w:rsid w:val="00872F05"/>
    <w:rsid w:val="008A57F9"/>
    <w:rsid w:val="008A6727"/>
    <w:rsid w:val="008C0330"/>
    <w:rsid w:val="008F6FA6"/>
    <w:rsid w:val="009227DA"/>
    <w:rsid w:val="0092745F"/>
    <w:rsid w:val="00944E08"/>
    <w:rsid w:val="0097796E"/>
    <w:rsid w:val="00977C4F"/>
    <w:rsid w:val="00982237"/>
    <w:rsid w:val="00983FCC"/>
    <w:rsid w:val="009A6124"/>
    <w:rsid w:val="009A730D"/>
    <w:rsid w:val="009D26EE"/>
    <w:rsid w:val="009E6856"/>
    <w:rsid w:val="00A00052"/>
    <w:rsid w:val="00A2753A"/>
    <w:rsid w:val="00A3650D"/>
    <w:rsid w:val="00A41EAF"/>
    <w:rsid w:val="00AA15BB"/>
    <w:rsid w:val="00AB4CB6"/>
    <w:rsid w:val="00B26734"/>
    <w:rsid w:val="00B7715C"/>
    <w:rsid w:val="00B93517"/>
    <w:rsid w:val="00BA1F6C"/>
    <w:rsid w:val="00BA4360"/>
    <w:rsid w:val="00BB3E03"/>
    <w:rsid w:val="00BB59FA"/>
    <w:rsid w:val="00BD7CA1"/>
    <w:rsid w:val="00BE5CC2"/>
    <w:rsid w:val="00C07730"/>
    <w:rsid w:val="00C37182"/>
    <w:rsid w:val="00C44A38"/>
    <w:rsid w:val="00C47CF6"/>
    <w:rsid w:val="00C47F0E"/>
    <w:rsid w:val="00C93C94"/>
    <w:rsid w:val="00C97A3B"/>
    <w:rsid w:val="00CB1D2B"/>
    <w:rsid w:val="00CC3F26"/>
    <w:rsid w:val="00CC70E4"/>
    <w:rsid w:val="00CF0C02"/>
    <w:rsid w:val="00D111FD"/>
    <w:rsid w:val="00D14DED"/>
    <w:rsid w:val="00D21800"/>
    <w:rsid w:val="00D46BD6"/>
    <w:rsid w:val="00D53642"/>
    <w:rsid w:val="00D73D10"/>
    <w:rsid w:val="00D86556"/>
    <w:rsid w:val="00D94040"/>
    <w:rsid w:val="00DE362C"/>
    <w:rsid w:val="00DF5832"/>
    <w:rsid w:val="00E13051"/>
    <w:rsid w:val="00E14245"/>
    <w:rsid w:val="00E56B15"/>
    <w:rsid w:val="00E61E6C"/>
    <w:rsid w:val="00E70D5B"/>
    <w:rsid w:val="00EC6F3D"/>
    <w:rsid w:val="00ED5D1D"/>
    <w:rsid w:val="00EF4241"/>
    <w:rsid w:val="00EF7275"/>
    <w:rsid w:val="00F25085"/>
    <w:rsid w:val="00F25AE3"/>
    <w:rsid w:val="00F41094"/>
    <w:rsid w:val="00F7183B"/>
    <w:rsid w:val="00FC79ED"/>
    <w:rsid w:val="00FD5B39"/>
    <w:rsid w:val="00FD7BF7"/>
    <w:rsid w:val="00FD7F31"/>
    <w:rsid w:val="00FE3AB0"/>
    <w:rsid w:val="00FF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93EB85-01B5-4972-BFAE-48EDCD2B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83B"/>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083B"/>
    <w:pPr>
      <w:spacing w:after="120"/>
    </w:pPr>
  </w:style>
  <w:style w:type="character" w:customStyle="1" w:styleId="a4">
    <w:name w:val="Основной текст Знак"/>
    <w:basedOn w:val="a0"/>
    <w:link w:val="a3"/>
    <w:rsid w:val="0043083B"/>
    <w:rPr>
      <w:rFonts w:ascii="Times New Roman" w:eastAsia="Times New Roman" w:hAnsi="Times New Roman" w:cs="Times New Roman"/>
      <w:sz w:val="28"/>
      <w:szCs w:val="24"/>
      <w:lang w:eastAsia="ar-SA"/>
    </w:rPr>
  </w:style>
  <w:style w:type="paragraph" w:customStyle="1" w:styleId="ConsTitle">
    <w:name w:val="ConsTitle"/>
    <w:rsid w:val="0043083B"/>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Nonformat">
    <w:name w:val="ConsNonformat"/>
    <w:rsid w:val="0043083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43083B"/>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10">
    <w:name w:val="Без интервала1"/>
    <w:rsid w:val="0043083B"/>
    <w:pPr>
      <w:widowControl w:val="0"/>
      <w:suppressAutoHyphens/>
      <w:spacing w:after="0" w:line="240" w:lineRule="auto"/>
    </w:pPr>
    <w:rPr>
      <w:rFonts w:ascii="Arial" w:eastAsia="DejaVu Sans" w:hAnsi="Arial" w:cs="Times New Roman"/>
      <w:kern w:val="1"/>
      <w:sz w:val="20"/>
      <w:szCs w:val="24"/>
    </w:rPr>
  </w:style>
  <w:style w:type="paragraph" w:customStyle="1" w:styleId="Standard">
    <w:name w:val="Standard"/>
    <w:rsid w:val="0043083B"/>
    <w:pPr>
      <w:suppressAutoHyphens/>
      <w:autoSpaceDN w:val="0"/>
      <w:spacing w:after="0" w:line="240" w:lineRule="auto"/>
      <w:textAlignment w:val="baseline"/>
    </w:pPr>
    <w:rPr>
      <w:rFonts w:ascii="Times New Roman" w:eastAsia="Times New Roman" w:hAnsi="Times New Roman" w:cs="Times New Roman"/>
      <w:kern w:val="3"/>
      <w:sz w:val="28"/>
      <w:szCs w:val="24"/>
      <w:lang w:eastAsia="ru-RU"/>
    </w:rPr>
  </w:style>
  <w:style w:type="paragraph" w:customStyle="1" w:styleId="ConsPlusTitle">
    <w:name w:val="ConsPlusTitle"/>
    <w:rsid w:val="004308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Содержимое таблицы"/>
    <w:basedOn w:val="a"/>
    <w:rsid w:val="0043083B"/>
    <w:pPr>
      <w:suppressLineNumbers/>
      <w:suppressAutoHyphens w:val="0"/>
    </w:pPr>
    <w:rPr>
      <w:sz w:val="24"/>
    </w:rPr>
  </w:style>
  <w:style w:type="paragraph" w:styleId="a6">
    <w:name w:val="Balloon Text"/>
    <w:basedOn w:val="a"/>
    <w:link w:val="a7"/>
    <w:uiPriority w:val="99"/>
    <w:semiHidden/>
    <w:unhideWhenUsed/>
    <w:rsid w:val="00ED5D1D"/>
    <w:rPr>
      <w:rFonts w:ascii="Tahoma" w:hAnsi="Tahoma" w:cs="Tahoma"/>
      <w:sz w:val="16"/>
      <w:szCs w:val="16"/>
    </w:rPr>
  </w:style>
  <w:style w:type="character" w:customStyle="1" w:styleId="a7">
    <w:name w:val="Текст выноски Знак"/>
    <w:basedOn w:val="a0"/>
    <w:link w:val="a6"/>
    <w:uiPriority w:val="99"/>
    <w:semiHidden/>
    <w:rsid w:val="00ED5D1D"/>
    <w:rPr>
      <w:rFonts w:ascii="Tahoma" w:eastAsia="Times New Roman" w:hAnsi="Tahoma" w:cs="Tahoma"/>
      <w:sz w:val="16"/>
      <w:szCs w:val="16"/>
      <w:lang w:eastAsia="ar-SA"/>
    </w:rPr>
  </w:style>
  <w:style w:type="paragraph" w:styleId="a8">
    <w:name w:val="List Paragraph"/>
    <w:basedOn w:val="a"/>
    <w:link w:val="a9"/>
    <w:uiPriority w:val="99"/>
    <w:qFormat/>
    <w:rsid w:val="00983FCC"/>
    <w:pPr>
      <w:ind w:left="720"/>
      <w:contextualSpacing/>
    </w:pPr>
  </w:style>
  <w:style w:type="paragraph" w:customStyle="1" w:styleId="ConsPlusNormal">
    <w:name w:val="ConsPlusNormal"/>
    <w:link w:val="ConsPlusNormal0"/>
    <w:rsid w:val="00CB1D2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FD5B39"/>
    <w:rPr>
      <w:color w:val="0000FF" w:themeColor="hyperlink"/>
      <w:u w:val="single"/>
    </w:rPr>
  </w:style>
  <w:style w:type="paragraph" w:styleId="ab">
    <w:name w:val="No Spacing"/>
    <w:link w:val="ac"/>
    <w:uiPriority w:val="1"/>
    <w:qFormat/>
    <w:rsid w:val="000E0316"/>
    <w:pPr>
      <w:spacing w:after="0"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B93517"/>
  </w:style>
  <w:style w:type="paragraph" w:styleId="ad">
    <w:name w:val="Body Text Indent"/>
    <w:basedOn w:val="a"/>
    <w:link w:val="ae"/>
    <w:unhideWhenUsed/>
    <w:rsid w:val="00FE3AB0"/>
    <w:pPr>
      <w:suppressAutoHyphens w:val="0"/>
      <w:ind w:firstLine="708"/>
    </w:pPr>
    <w:rPr>
      <w:lang w:eastAsia="ru-RU"/>
    </w:rPr>
  </w:style>
  <w:style w:type="character" w:customStyle="1" w:styleId="ae">
    <w:name w:val="Основной текст с отступом Знак"/>
    <w:basedOn w:val="a0"/>
    <w:link w:val="ad"/>
    <w:rsid w:val="00FE3AB0"/>
    <w:rPr>
      <w:rFonts w:ascii="Times New Roman" w:eastAsia="Times New Roman" w:hAnsi="Times New Roman" w:cs="Times New Roman"/>
      <w:sz w:val="28"/>
      <w:szCs w:val="24"/>
      <w:lang w:eastAsia="ru-RU"/>
    </w:rPr>
  </w:style>
  <w:style w:type="character" w:customStyle="1" w:styleId="ConsPlusNormal0">
    <w:name w:val="ConsPlusNormal Знак"/>
    <w:link w:val="ConsPlusNormal"/>
    <w:rsid w:val="00FE3AB0"/>
    <w:rPr>
      <w:rFonts w:ascii="Arial" w:eastAsia="Times New Roman" w:hAnsi="Arial" w:cs="Arial"/>
      <w:sz w:val="20"/>
      <w:szCs w:val="20"/>
      <w:lang w:eastAsia="ru-RU"/>
    </w:rPr>
  </w:style>
  <w:style w:type="character" w:customStyle="1" w:styleId="FontStyle33">
    <w:name w:val="Font Style33"/>
    <w:uiPriority w:val="99"/>
    <w:rsid w:val="00FE3AB0"/>
    <w:rPr>
      <w:rFonts w:ascii="Times New Roman" w:hAnsi="Times New Roman" w:cs="Times New Roman" w:hint="default"/>
      <w:b/>
      <w:bCs/>
      <w:sz w:val="14"/>
      <w:szCs w:val="14"/>
    </w:rPr>
  </w:style>
  <w:style w:type="paragraph" w:customStyle="1" w:styleId="p">
    <w:name w:val="_p"/>
    <w:autoRedefine/>
    <w:qFormat/>
    <w:rsid w:val="00FE3AB0"/>
    <w:pPr>
      <w:tabs>
        <w:tab w:val="left" w:pos="4950"/>
      </w:tabs>
      <w:spacing w:after="0" w:line="240" w:lineRule="auto"/>
      <w:ind w:firstLine="567"/>
      <w:jc w:val="both"/>
    </w:pPr>
    <w:rPr>
      <w:rFonts w:ascii="Times New Roman" w:eastAsia="Times New Roman" w:hAnsi="Times New Roman" w:cs="Times New Roman"/>
      <w:sz w:val="28"/>
      <w:lang w:eastAsia="ru-RU"/>
    </w:rPr>
  </w:style>
  <w:style w:type="paragraph" w:customStyle="1" w:styleId="af">
    <w:name w:val="_Обычный"/>
    <w:link w:val="af0"/>
    <w:qFormat/>
    <w:rsid w:val="00FE3AB0"/>
    <w:pPr>
      <w:spacing w:after="0" w:line="360" w:lineRule="auto"/>
      <w:ind w:firstLine="709"/>
      <w:jc w:val="both"/>
    </w:pPr>
    <w:rPr>
      <w:rFonts w:ascii="Times New Roman" w:eastAsia="Calibri" w:hAnsi="Times New Roman" w:cs="Times New Roman"/>
      <w:sz w:val="24"/>
      <w:szCs w:val="24"/>
    </w:rPr>
  </w:style>
  <w:style w:type="character" w:customStyle="1" w:styleId="af0">
    <w:name w:val="_Обычный Знак"/>
    <w:link w:val="af"/>
    <w:rsid w:val="00FE3AB0"/>
    <w:rPr>
      <w:rFonts w:ascii="Times New Roman" w:eastAsia="Calibri" w:hAnsi="Times New Roman" w:cs="Times New Roman"/>
      <w:sz w:val="24"/>
      <w:szCs w:val="24"/>
    </w:rPr>
  </w:style>
  <w:style w:type="paragraph" w:customStyle="1" w:styleId="1">
    <w:name w:val="_Заголовок_1"/>
    <w:next w:val="a"/>
    <w:qFormat/>
    <w:rsid w:val="00FE3AB0"/>
    <w:pPr>
      <w:keepLines/>
      <w:pageBreakBefore/>
      <w:numPr>
        <w:numId w:val="4"/>
      </w:numPr>
      <w:spacing w:before="360" w:after="120" w:line="360" w:lineRule="auto"/>
      <w:ind w:left="0" w:firstLine="709"/>
      <w:jc w:val="both"/>
      <w:outlineLvl w:val="0"/>
    </w:pPr>
    <w:rPr>
      <w:rFonts w:ascii="Times New Roman" w:eastAsia="Times New Roman" w:hAnsi="Times New Roman" w:cs="Times New Roman"/>
      <w:caps/>
      <w:sz w:val="32"/>
      <w:szCs w:val="32"/>
    </w:rPr>
  </w:style>
  <w:style w:type="paragraph" w:customStyle="1" w:styleId="2">
    <w:name w:val="_Заголовок_2"/>
    <w:next w:val="a"/>
    <w:qFormat/>
    <w:rsid w:val="00FE3AB0"/>
    <w:pPr>
      <w:numPr>
        <w:ilvl w:val="1"/>
        <w:numId w:val="4"/>
      </w:numPr>
      <w:spacing w:before="240" w:after="720" w:line="360" w:lineRule="auto"/>
      <w:ind w:left="1145"/>
      <w:jc w:val="both"/>
      <w:outlineLvl w:val="1"/>
    </w:pPr>
    <w:rPr>
      <w:rFonts w:ascii="Times New Roman" w:eastAsia="Times New Roman" w:hAnsi="Times New Roman" w:cs="Times New Roman"/>
      <w:caps/>
      <w:sz w:val="28"/>
      <w:szCs w:val="32"/>
    </w:rPr>
  </w:style>
  <w:style w:type="paragraph" w:customStyle="1" w:styleId="3">
    <w:name w:val="_Заголовок_3"/>
    <w:next w:val="a"/>
    <w:link w:val="30"/>
    <w:qFormat/>
    <w:rsid w:val="00FE3AB0"/>
    <w:pPr>
      <w:numPr>
        <w:ilvl w:val="2"/>
        <w:numId w:val="4"/>
      </w:numPr>
      <w:spacing w:before="120" w:after="120" w:line="360" w:lineRule="auto"/>
      <w:ind w:left="0" w:firstLine="709"/>
      <w:jc w:val="both"/>
      <w:outlineLvl w:val="2"/>
    </w:pPr>
    <w:rPr>
      <w:rFonts w:ascii="Times New Roman" w:eastAsia="Calibri" w:hAnsi="Times New Roman" w:cs="Times New Roman"/>
      <w:i/>
      <w:sz w:val="24"/>
      <w:szCs w:val="32"/>
    </w:rPr>
  </w:style>
  <w:style w:type="character" w:customStyle="1" w:styleId="30">
    <w:name w:val="_Заголовок_3 Знак"/>
    <w:link w:val="3"/>
    <w:rsid w:val="00FE3AB0"/>
    <w:rPr>
      <w:rFonts w:ascii="Times New Roman" w:eastAsia="Calibri" w:hAnsi="Times New Roman" w:cs="Times New Roman"/>
      <w:i/>
      <w:sz w:val="24"/>
      <w:szCs w:val="32"/>
    </w:rPr>
  </w:style>
  <w:style w:type="paragraph" w:customStyle="1" w:styleId="4">
    <w:name w:val="_Заголовок_4"/>
    <w:basedOn w:val="3"/>
    <w:next w:val="a"/>
    <w:qFormat/>
    <w:rsid w:val="00FE3AB0"/>
    <w:pPr>
      <w:numPr>
        <w:ilvl w:val="3"/>
      </w:numPr>
      <w:tabs>
        <w:tab w:val="num" w:pos="360"/>
      </w:tabs>
      <w:ind w:left="0" w:firstLine="709"/>
      <w:outlineLvl w:val="3"/>
    </w:pPr>
    <w:rPr>
      <w:lang w:val="x-none"/>
    </w:rPr>
  </w:style>
  <w:style w:type="paragraph" w:customStyle="1" w:styleId="5">
    <w:name w:val="_Заголовок_5"/>
    <w:basedOn w:val="1"/>
    <w:next w:val="a"/>
    <w:qFormat/>
    <w:rsid w:val="00FE3AB0"/>
    <w:pPr>
      <w:pageBreakBefore w:val="0"/>
      <w:numPr>
        <w:ilvl w:val="4"/>
      </w:numPr>
      <w:spacing w:before="0" w:after="0"/>
      <w:outlineLvl w:val="4"/>
    </w:pPr>
    <w:rPr>
      <w:i/>
      <w:sz w:val="28"/>
      <w:lang w:val="x-none"/>
    </w:rPr>
  </w:style>
  <w:style w:type="paragraph" w:customStyle="1" w:styleId="6">
    <w:name w:val="_Заголовок_6"/>
    <w:basedOn w:val="1"/>
    <w:next w:val="a"/>
    <w:qFormat/>
    <w:rsid w:val="00FE3AB0"/>
    <w:pPr>
      <w:pageBreakBefore w:val="0"/>
      <w:numPr>
        <w:ilvl w:val="5"/>
      </w:numPr>
      <w:spacing w:before="200" w:after="240" w:line="264" w:lineRule="auto"/>
      <w:outlineLvl w:val="5"/>
    </w:pPr>
    <w:rPr>
      <w:i/>
      <w:lang w:val="x-none"/>
    </w:rPr>
  </w:style>
  <w:style w:type="paragraph" w:styleId="20">
    <w:name w:val="Body Text Indent 2"/>
    <w:basedOn w:val="a"/>
    <w:link w:val="21"/>
    <w:uiPriority w:val="99"/>
    <w:semiHidden/>
    <w:unhideWhenUsed/>
    <w:rsid w:val="00FE3AB0"/>
    <w:pPr>
      <w:spacing w:after="120" w:line="480" w:lineRule="auto"/>
      <w:ind w:left="283"/>
    </w:pPr>
  </w:style>
  <w:style w:type="character" w:customStyle="1" w:styleId="21">
    <w:name w:val="Основной текст с отступом 2 Знак"/>
    <w:basedOn w:val="a0"/>
    <w:link w:val="20"/>
    <w:uiPriority w:val="99"/>
    <w:semiHidden/>
    <w:rsid w:val="00FE3AB0"/>
    <w:rPr>
      <w:rFonts w:ascii="Times New Roman" w:eastAsia="Times New Roman" w:hAnsi="Times New Roman" w:cs="Times New Roman"/>
      <w:sz w:val="28"/>
      <w:szCs w:val="24"/>
      <w:lang w:eastAsia="ar-SA"/>
    </w:rPr>
  </w:style>
  <w:style w:type="paragraph" w:styleId="af1">
    <w:name w:val="header"/>
    <w:basedOn w:val="a"/>
    <w:link w:val="af2"/>
    <w:uiPriority w:val="99"/>
    <w:unhideWhenUsed/>
    <w:rsid w:val="00FE3AB0"/>
    <w:pPr>
      <w:tabs>
        <w:tab w:val="center" w:pos="4677"/>
        <w:tab w:val="right" w:pos="9355"/>
      </w:tabs>
    </w:pPr>
  </w:style>
  <w:style w:type="character" w:customStyle="1" w:styleId="af2">
    <w:name w:val="Верхний колонтитул Знак"/>
    <w:basedOn w:val="a0"/>
    <w:link w:val="af1"/>
    <w:uiPriority w:val="99"/>
    <w:rsid w:val="00FE3AB0"/>
    <w:rPr>
      <w:rFonts w:ascii="Times New Roman" w:eastAsia="Times New Roman" w:hAnsi="Times New Roman" w:cs="Times New Roman"/>
      <w:sz w:val="28"/>
      <w:szCs w:val="24"/>
      <w:lang w:eastAsia="ar-SA"/>
    </w:rPr>
  </w:style>
  <w:style w:type="paragraph" w:styleId="af3">
    <w:name w:val="footer"/>
    <w:basedOn w:val="a"/>
    <w:link w:val="af4"/>
    <w:uiPriority w:val="99"/>
    <w:unhideWhenUsed/>
    <w:rsid w:val="00FE3AB0"/>
    <w:pPr>
      <w:tabs>
        <w:tab w:val="center" w:pos="4677"/>
        <w:tab w:val="right" w:pos="9355"/>
      </w:tabs>
    </w:pPr>
  </w:style>
  <w:style w:type="character" w:customStyle="1" w:styleId="af4">
    <w:name w:val="Нижний колонтитул Знак"/>
    <w:basedOn w:val="a0"/>
    <w:link w:val="af3"/>
    <w:uiPriority w:val="99"/>
    <w:rsid w:val="00FE3AB0"/>
    <w:rPr>
      <w:rFonts w:ascii="Times New Roman" w:eastAsia="Times New Roman" w:hAnsi="Times New Roman" w:cs="Times New Roman"/>
      <w:sz w:val="28"/>
      <w:szCs w:val="24"/>
      <w:lang w:eastAsia="ar-SA"/>
    </w:rPr>
  </w:style>
  <w:style w:type="character" w:customStyle="1" w:styleId="a9">
    <w:name w:val="Абзац списка Знак"/>
    <w:link w:val="a8"/>
    <w:uiPriority w:val="99"/>
    <w:locked/>
    <w:rsid w:val="00FE3AB0"/>
    <w:rPr>
      <w:rFonts w:ascii="Times New Roman" w:eastAsia="Times New Roman" w:hAnsi="Times New Roman" w:cs="Times New Roman"/>
      <w:sz w:val="28"/>
      <w:szCs w:val="24"/>
      <w:lang w:eastAsia="ar-SA"/>
    </w:rPr>
  </w:style>
  <w:style w:type="character" w:customStyle="1" w:styleId="ac">
    <w:name w:val="Без интервала Знак"/>
    <w:link w:val="ab"/>
    <w:uiPriority w:val="1"/>
    <w:locked/>
    <w:rsid w:val="00FE3A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alexandro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040D-367A-4417-887A-53EEAE17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8145</Words>
  <Characters>46427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54464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Митрофанова</dc:creator>
  <cp:keywords/>
  <dc:description/>
  <cp:lastModifiedBy>Валентина Мещерякова</cp:lastModifiedBy>
  <cp:revision>4</cp:revision>
  <cp:lastPrinted>2024-05-02T06:58:00Z</cp:lastPrinted>
  <dcterms:created xsi:type="dcterms:W3CDTF">2024-04-26T15:03:00Z</dcterms:created>
  <dcterms:modified xsi:type="dcterms:W3CDTF">2024-05-02T07:03:00Z</dcterms:modified>
</cp:coreProperties>
</file>