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FD5429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5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683952" w:rsidRPr="00F7475D" w:rsidRDefault="005E2152" w:rsidP="003751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375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FC5F84" w:rsidRPr="00375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F7743B" w:rsidRPr="003751C8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F7475D" w:rsidRPr="00F7475D">
        <w:rPr>
          <w:rFonts w:ascii="Times New Roman" w:hAnsi="Times New Roman" w:cs="Times New Roman"/>
          <w:bCs/>
          <w:sz w:val="28"/>
          <w:szCs w:val="28"/>
          <w:lang w:eastAsia="ar-SA"/>
        </w:rPr>
        <w:t>Управление финансами Новоалександровского муниципального округа Ставропольского края</w:t>
      </w:r>
      <w:bookmarkEnd w:id="0"/>
      <w:r w:rsidR="00683952" w:rsidRPr="00F7475D">
        <w:rPr>
          <w:rFonts w:ascii="Times New Roman" w:hAnsi="Times New Roman" w:cs="Times New Roman"/>
          <w:sz w:val="28"/>
          <w:szCs w:val="28"/>
        </w:rPr>
        <w:t>»</w:t>
      </w:r>
    </w:p>
    <w:p w:rsidR="00464DF1" w:rsidRPr="008F31B3" w:rsidRDefault="00464DF1" w:rsidP="007C11F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F5" w:rsidRPr="008F31B3" w:rsidRDefault="00AE55F5" w:rsidP="00AE5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6 части 1 статьи 8 Положения о бюджетном процессе в Новоалександровском 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пункта 15 </w:t>
      </w:r>
      <w:r w:rsidRPr="008F31B3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муниципального округа Ставропольского края от 02 ноября 2023 года №1424 (далее – Порядок)</w:t>
      </w:r>
      <w:r w:rsidRPr="008F31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муниципального округа Ставропольского края (далее – контрольно-счетный орган) проведена финансово-экономическая экспертиза проекта муниципальной программы </w:t>
      </w:r>
      <w:r w:rsidRPr="003751C8">
        <w:rPr>
          <w:rFonts w:ascii="Times New Roman" w:hAnsi="Times New Roman" w:cs="Times New Roman"/>
          <w:sz w:val="28"/>
          <w:szCs w:val="28"/>
        </w:rPr>
        <w:t>«</w:t>
      </w:r>
      <w:r w:rsidR="00F7475D" w:rsidRPr="00F7475D">
        <w:rPr>
          <w:rFonts w:ascii="Times New Roman" w:hAnsi="Times New Roman" w:cs="Times New Roman"/>
          <w:bCs/>
          <w:sz w:val="28"/>
          <w:szCs w:val="28"/>
          <w:lang w:eastAsia="ar-SA"/>
        </w:rPr>
        <w:t>Управление финансами Новоалександровского муниципального округа Ставропольского края</w:t>
      </w:r>
      <w:r w:rsidRPr="003751C8">
        <w:rPr>
          <w:rFonts w:ascii="Times New Roman" w:hAnsi="Times New Roman" w:cs="Times New Roman"/>
          <w:sz w:val="28"/>
          <w:szCs w:val="28"/>
        </w:rPr>
        <w:t xml:space="preserve">» </w:t>
      </w:r>
      <w:r w:rsidRPr="0037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Программа).</w:t>
      </w:r>
    </w:p>
    <w:p w:rsidR="00FB6AA4" w:rsidRPr="008F31B3" w:rsidRDefault="00FB6AA4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52" w:rsidRPr="00346687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с 20</w:t>
      </w:r>
      <w:r w:rsidR="00DC0B21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55F5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13DA5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</w:t>
      </w:r>
      <w:r w:rsidR="00AE55F5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670C49" w:rsidRPr="00346687" w:rsidRDefault="00E94B71" w:rsidP="00670C4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Программы является</w:t>
      </w:r>
      <w:r w:rsidRPr="003466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F7475D" w:rsidRPr="0034668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финансовое </w:t>
      </w:r>
      <w:r w:rsidR="00683952" w:rsidRPr="00346687">
        <w:rPr>
          <w:rFonts w:ascii="Times New Roman" w:hAnsi="Times New Roman" w:cs="Times New Roman"/>
          <w:sz w:val="28"/>
          <w:szCs w:val="28"/>
        </w:rPr>
        <w:t xml:space="preserve">управление администрации Новоалександровского муниципального округа Ставропольского края (далее </w:t>
      </w:r>
      <w:r w:rsidR="00F7475D" w:rsidRPr="00346687">
        <w:rPr>
          <w:rFonts w:ascii="Times New Roman" w:hAnsi="Times New Roman" w:cs="Times New Roman"/>
          <w:sz w:val="28"/>
          <w:szCs w:val="28"/>
        </w:rPr>
        <w:t>–</w:t>
      </w:r>
      <w:r w:rsidR="00683952" w:rsidRPr="00346687">
        <w:rPr>
          <w:rFonts w:ascii="Times New Roman" w:hAnsi="Times New Roman" w:cs="Times New Roman"/>
          <w:sz w:val="28"/>
          <w:szCs w:val="28"/>
        </w:rPr>
        <w:t xml:space="preserve"> </w:t>
      </w:r>
      <w:r w:rsidR="00F7475D" w:rsidRPr="00346687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683952" w:rsidRPr="00346687">
        <w:rPr>
          <w:rFonts w:ascii="Times New Roman" w:hAnsi="Times New Roman" w:cs="Times New Roman"/>
          <w:sz w:val="28"/>
          <w:szCs w:val="28"/>
        </w:rPr>
        <w:t>управление)</w:t>
      </w:r>
    </w:p>
    <w:p w:rsidR="00FB6AA4" w:rsidRPr="00346687" w:rsidRDefault="00FB6AA4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62" w:rsidRPr="00346687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="00EB7B4D" w:rsidRPr="00346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5E2152" w:rsidRPr="00346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 </w:t>
      </w:r>
      <w:r w:rsidR="002E4562" w:rsidRPr="00346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сформулированы следующим образом:</w:t>
      </w:r>
    </w:p>
    <w:p w:rsidR="00AF217B" w:rsidRPr="00346687" w:rsidRDefault="00EC1BF1" w:rsidP="00AF217B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687">
        <w:rPr>
          <w:rFonts w:ascii="Times New Roman" w:hAnsi="Times New Roman" w:cs="Times New Roman"/>
          <w:sz w:val="28"/>
          <w:szCs w:val="28"/>
        </w:rPr>
        <w:t xml:space="preserve">- </w:t>
      </w:r>
      <w:r w:rsidR="00EA755B" w:rsidRPr="00346687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 Новоалександровского муниципального округа Ставропольского края, повышение качества управления муниципальными финансами Новоалександровского муниципального округа Ставропольского края</w:t>
      </w:r>
      <w:r w:rsidR="00AF217B" w:rsidRPr="003466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454E" w:rsidRPr="00346687" w:rsidRDefault="0027454E" w:rsidP="00AF217B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мероприятиями Программы являются:</w:t>
      </w:r>
    </w:p>
    <w:p w:rsidR="00EA755B" w:rsidRPr="00346687" w:rsidRDefault="00AF217B" w:rsidP="00EA755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A755B" w:rsidRPr="00346687">
        <w:rPr>
          <w:rFonts w:ascii="Times New Roman" w:hAnsi="Times New Roman" w:cs="Times New Roman"/>
          <w:sz w:val="28"/>
          <w:szCs w:val="28"/>
        </w:rPr>
        <w:t>Основное мероприятие «Повышение сбалансированности и устойчивости бюджетной системы Новоалександровского муниципального округа Ставропольского края»;</w:t>
      </w:r>
    </w:p>
    <w:p w:rsidR="00EA755B" w:rsidRPr="00346687" w:rsidRDefault="00EA755B" w:rsidP="00EA755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- Основное мероприятие «Обеспечение реализации Программы «Управление финансами Новоалександровского муниципального округа Ставропольского края» и общепрограммные мероприятия Программы</w:t>
      </w:r>
    </w:p>
    <w:p w:rsidR="00EC1BF1" w:rsidRPr="00346687" w:rsidRDefault="00EC1BF1" w:rsidP="00EA755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687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реализации муниципальной программы </w:t>
      </w:r>
      <w:r w:rsidR="00093D74" w:rsidRPr="00346687">
        <w:rPr>
          <w:rFonts w:ascii="Times New Roman" w:hAnsi="Times New Roman" w:cs="Times New Roman"/>
          <w:sz w:val="28"/>
          <w:szCs w:val="28"/>
        </w:rPr>
        <w:t>«</w:t>
      </w:r>
      <w:r w:rsidR="00FB30ED" w:rsidRPr="00346687">
        <w:rPr>
          <w:rFonts w:ascii="Times New Roman" w:hAnsi="Times New Roman" w:cs="Times New Roman"/>
          <w:bCs/>
          <w:sz w:val="28"/>
          <w:szCs w:val="28"/>
          <w:lang w:eastAsia="ar-SA"/>
        </w:rPr>
        <w:t>Управление финансами Новоалександровского муниципального округа Ставропольского края</w:t>
      </w:r>
      <w:r w:rsidR="00093D74" w:rsidRPr="00346687">
        <w:rPr>
          <w:rFonts w:ascii="Times New Roman" w:hAnsi="Times New Roman" w:cs="Times New Roman"/>
          <w:sz w:val="28"/>
          <w:szCs w:val="28"/>
        </w:rPr>
        <w:t>»</w:t>
      </w:r>
      <w:r w:rsidRPr="00346687">
        <w:rPr>
          <w:rFonts w:ascii="Times New Roman" w:hAnsi="Times New Roman" w:cs="Times New Roman"/>
          <w:sz w:val="28"/>
          <w:szCs w:val="28"/>
          <w:lang w:eastAsia="ru-RU"/>
        </w:rPr>
        <w:t xml:space="preserve"> и общепрограммные мероприятия.</w:t>
      </w:r>
    </w:p>
    <w:p w:rsidR="009A6610" w:rsidRPr="00346687" w:rsidRDefault="00EC1BF1" w:rsidP="00EC1BF1">
      <w:pPr>
        <w:tabs>
          <w:tab w:val="left" w:pos="736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46687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740509" w:rsidRPr="00346687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беспечение реализации Программы</w:t>
      </w:r>
      <w:r w:rsidR="00760BC6" w:rsidRPr="00346687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EA755B" w:rsidRPr="00346687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Объем финансового обеспечения Программы составит   383 477,92 тыс. рублей, в том числе по источникам финансового обеспечения:</w:t>
      </w:r>
    </w:p>
    <w:p w:rsidR="00EA755B" w:rsidRPr="00346687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2025 год – 59617,27 тыс. рублей;</w:t>
      </w:r>
    </w:p>
    <w:p w:rsidR="00EA755B" w:rsidRPr="00346687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2026 год – 60020,21 тыс. рублей;</w:t>
      </w:r>
    </w:p>
    <w:p w:rsidR="00EA755B" w:rsidRPr="00346687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2027 год – 65960,11 тыс. рублей;</w:t>
      </w:r>
    </w:p>
    <w:p w:rsidR="00EA755B" w:rsidRPr="00346687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lastRenderedPageBreak/>
        <w:t>2028 год – 65960,11 тыс. рублей;</w:t>
      </w:r>
    </w:p>
    <w:p w:rsidR="00EA755B" w:rsidRPr="00346687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2029 год – 65960,11 тыс. рублей;</w:t>
      </w:r>
    </w:p>
    <w:p w:rsidR="00EA755B" w:rsidRPr="00346687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2030 год – 65960,11 тыс. рублей.</w:t>
      </w:r>
    </w:p>
    <w:p w:rsidR="00EA755B" w:rsidRPr="00346687" w:rsidRDefault="00EA755B" w:rsidP="00EA755B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- за счет средств бюджета Новоалександровского муниципального округа (далее – средства местного бюджета) – 383477,92 тыс. рублей, в том числе по годам:</w:t>
      </w:r>
    </w:p>
    <w:p w:rsidR="00EA755B" w:rsidRPr="00346687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2025 год – 59617,27 тыс. рублей;</w:t>
      </w:r>
    </w:p>
    <w:p w:rsidR="00EA755B" w:rsidRPr="00346687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2026 год – 60020,21 тыс. рублей;</w:t>
      </w:r>
    </w:p>
    <w:p w:rsidR="00EA755B" w:rsidRPr="00346687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2027 год – 65960,11 тыс. рублей;</w:t>
      </w:r>
    </w:p>
    <w:p w:rsidR="00EA755B" w:rsidRPr="00346687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2028 год – 65960,11 тыс. рублей;</w:t>
      </w:r>
    </w:p>
    <w:p w:rsidR="00EA755B" w:rsidRPr="00346687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2029 год – 65960,11 тыс. рублей;</w:t>
      </w:r>
    </w:p>
    <w:p w:rsidR="00EA755B" w:rsidRPr="00346687" w:rsidRDefault="00EA755B" w:rsidP="00EA755B">
      <w:pPr>
        <w:pStyle w:val="a9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2030 год – 65960,11 тыс. рублей.</w:t>
      </w:r>
    </w:p>
    <w:p w:rsidR="00FB6AA4" w:rsidRPr="00346687" w:rsidRDefault="00FB6AA4" w:rsidP="00AF217B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Новоалександровского муниципального округа Ставропольского края и показателей (индикаторов) их достижения в соответствии с: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07 мая 2024 года № 309 «О национальных целях и стратегических задачах развития Российской Федерации на период до 2030 года и на перспективу до 2036 года»;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5" w:history="1">
        <w:r w:rsidRPr="003466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6687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05.04.2013г.       44-ФЗ;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- закон Ставропольского края от 27 декабря 2019 года № 110-кз «О стратегии социально-экономического развития Ставропольского края до 2035 года»;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- распоряжение Правительства Ставропольского края от 28 октября 2024 года № 851-рп «О прогнозе социально-экономического развития Ставропольского края на 2025 год и на период до 2027 года»;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346687">
          <w:rPr>
            <w:rFonts w:ascii="Times New Roman" w:hAnsi="Times New Roman" w:cs="Times New Roman"/>
            <w:sz w:val="28"/>
            <w:szCs w:val="28"/>
          </w:rPr>
          <w:t>Стратеги</w:t>
        </w:r>
      </w:hyperlink>
      <w:r w:rsidRPr="00346687">
        <w:rPr>
          <w:rFonts w:ascii="Times New Roman" w:hAnsi="Times New Roman" w:cs="Times New Roman"/>
          <w:sz w:val="28"/>
          <w:szCs w:val="28"/>
        </w:rPr>
        <w:t>ей социально-экономического развития Новоалександровского муниципального округа Ставропольского края до 2035 года, утвержденной решением Совета депутатов Новоалександровского городского округа Ставропольского края первого созыва от 10 декабря 2019 г. № 32/349;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- постановление администрации Новоалександровского муниципального округа Ставропольского края от _________2024 года №______ «О прогнозе социально-экономического развития Новоалександровского муниципального округа Ставропольского края на 2025 год и на плановый период 2026 и 2027 годов»;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Бюджетным прогнозом Новоалександровского муниципального округа Ставропольского края на период до 2030 года, утвержденный постановлением администрации Новоалександровского муниципального округа Ставропольского края от 09 февраля 2024 г. № 214;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 xml:space="preserve">Программой консолидации бюджетных средств в целях оздоровления муниципальных финансов Новоалександровского городского округа </w:t>
      </w:r>
      <w:r w:rsidRPr="00346687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на 2023-2025 годы, утвержденная постановлением администрации Новоалександровского городского округа Ставропольского края от 05 июля 2024 г. № 978;</w:t>
      </w:r>
    </w:p>
    <w:p w:rsidR="00FB30ED" w:rsidRPr="00346687" w:rsidRDefault="00346687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B30ED" w:rsidRPr="00346687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FB30ED" w:rsidRPr="00346687">
        <w:rPr>
          <w:rFonts w:ascii="Times New Roman" w:hAnsi="Times New Roman" w:cs="Times New Roman"/>
          <w:sz w:val="28"/>
          <w:szCs w:val="28"/>
        </w:rPr>
        <w:t xml:space="preserve"> создания и развития государственной интегрированной информационной системы управления общественными финансами «Электронный бюджет», одобренной распоряжением Правительства Российской Федерации от 20 июля 2011 г. N 1275-р;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Основными направлениями бюджетной, налоговой и долговой политики Новоалександровского муниципального округа Ставропольского края, разрабатываемые в составе материалов к проектам решений Совета депутатов Новоалександровского муниципального округа Ставропольского края о бюджете муниципального округа на очередной финансовый год и плановый период;</w:t>
      </w:r>
    </w:p>
    <w:p w:rsidR="00FB30ED" w:rsidRPr="00346687" w:rsidRDefault="00FB30ED" w:rsidP="00FB30ED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Основным стратегическим приоритетом политики органов местного самоуправления в сфере управления финансами является эффективное использование всех бюджетных ресурсов для обеспечения динамичного развития экономики, повышения уровня жизни населения и формирования благоприятных условий жизнедеятельности в Новоалександровском муниципальном округе Ставропольского края.</w:t>
      </w:r>
    </w:p>
    <w:p w:rsidR="008F31B3" w:rsidRPr="00346687" w:rsidRDefault="001977DB" w:rsidP="0099710A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46687">
        <w:rPr>
          <w:rFonts w:ascii="Times New Roman" w:hAnsi="Times New Roman" w:cs="Times New Roman"/>
          <w:bCs/>
          <w:sz w:val="28"/>
          <w:szCs w:val="28"/>
          <w:u w:val="single"/>
        </w:rPr>
        <w:t>Так же о</w:t>
      </w:r>
      <w:r w:rsidR="008F31B3" w:rsidRPr="0034668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бращаем Ваше внимание на то, что </w:t>
      </w:r>
      <w:hyperlink r:id="rId8" w:tooltip="Распоряжение Правительства Ставропольского края от 15.07.2009 N 221-рп (ред. от 26.06.2013) &quot;Об утверждении Стратегии социально-экономического развития Ставропольского края до 2020 года и на период до 2025 года&quot;{КонсультантПлюс}" w:history="1">
        <w:r w:rsidR="008F31B3" w:rsidRPr="00346687">
          <w:rPr>
            <w:rFonts w:ascii="Times New Roman" w:hAnsi="Times New Roman" w:cs="Times New Roman"/>
            <w:sz w:val="28"/>
            <w:szCs w:val="28"/>
            <w:u w:val="single"/>
          </w:rPr>
          <w:t>Стратеги</w:t>
        </w:r>
      </w:hyperlink>
      <w:r w:rsidR="008F31B3" w:rsidRPr="00346687">
        <w:rPr>
          <w:rFonts w:ascii="Times New Roman" w:hAnsi="Times New Roman" w:cs="Times New Roman"/>
          <w:sz w:val="28"/>
          <w:szCs w:val="28"/>
          <w:u w:val="single"/>
        </w:rPr>
        <w:t xml:space="preserve">я социально-экономического развития Новоалександровского муниципального округа Ставропольского края до 2035 утверждена решением Совета Новоалександровского муниципального округа Ставропольского края от 24.10.2024г. №28/81 О внесении изменений в решение Совета </w:t>
      </w:r>
      <w:r w:rsidR="008F31B3" w:rsidRPr="0034668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депутатов Новоалександровского городского округа Ставропольского края первого созыва от 10 декабря 2019 г.  № 32/349 «О Стратегии социально-экономического развития Новоалександровского городского округа Ставропольского края до 2035 года».</w:t>
      </w:r>
    </w:p>
    <w:p w:rsidR="008F31B3" w:rsidRPr="00346687" w:rsidRDefault="008F31B3" w:rsidP="0099710A">
      <w:pPr>
        <w:pStyle w:val="ConsPlusNormal0"/>
        <w:ind w:firstLine="540"/>
        <w:jc w:val="both"/>
        <w:rPr>
          <w:sz w:val="28"/>
          <w:szCs w:val="28"/>
        </w:rPr>
      </w:pPr>
    </w:p>
    <w:p w:rsidR="00422BD0" w:rsidRPr="00346687" w:rsidRDefault="00422BD0" w:rsidP="0042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обеспечение муниципальной программы «</w:t>
      </w:r>
      <w:r w:rsidR="00FB30ED" w:rsidRPr="00346687">
        <w:rPr>
          <w:rFonts w:ascii="Times New Roman" w:hAnsi="Times New Roman" w:cs="Times New Roman"/>
          <w:bCs/>
          <w:sz w:val="28"/>
          <w:szCs w:val="28"/>
          <w:lang w:eastAsia="ar-SA"/>
        </w:rPr>
        <w:t>Управление финансами Новоалександровского муниципального округа Ставропольского края</w:t>
      </w:r>
      <w:r w:rsidRPr="00346687">
        <w:rPr>
          <w:rFonts w:ascii="Times New Roman" w:hAnsi="Times New Roman" w:cs="Times New Roman"/>
          <w:sz w:val="28"/>
          <w:szCs w:val="28"/>
        </w:rPr>
        <w:t xml:space="preserve">» сформированы в соответствии с доведенными </w:t>
      </w:r>
      <w:r w:rsidR="001A646B" w:rsidRPr="00346687">
        <w:rPr>
          <w:rFonts w:ascii="Times New Roman" w:hAnsi="Times New Roman" w:cs="Times New Roman"/>
          <w:sz w:val="28"/>
          <w:szCs w:val="28"/>
        </w:rPr>
        <w:t>управлению культуры</w:t>
      </w:r>
      <w:r w:rsidRPr="00346687">
        <w:rPr>
          <w:rFonts w:ascii="Times New Roman" w:hAnsi="Times New Roman" w:cs="Times New Roman"/>
          <w:sz w:val="28"/>
          <w:szCs w:val="28"/>
        </w:rPr>
        <w:t xml:space="preserve"> объемами финансирования на 202</w:t>
      </w:r>
      <w:r w:rsidR="00910917" w:rsidRPr="00346687">
        <w:rPr>
          <w:rFonts w:ascii="Times New Roman" w:hAnsi="Times New Roman" w:cs="Times New Roman"/>
          <w:sz w:val="28"/>
          <w:szCs w:val="28"/>
        </w:rPr>
        <w:t>5</w:t>
      </w:r>
      <w:r w:rsidRPr="00346687">
        <w:rPr>
          <w:rFonts w:ascii="Times New Roman" w:hAnsi="Times New Roman" w:cs="Times New Roman"/>
          <w:sz w:val="28"/>
          <w:szCs w:val="28"/>
        </w:rPr>
        <w:t>-20</w:t>
      </w:r>
      <w:r w:rsidR="00910917" w:rsidRPr="00346687">
        <w:rPr>
          <w:rFonts w:ascii="Times New Roman" w:hAnsi="Times New Roman" w:cs="Times New Roman"/>
          <w:sz w:val="28"/>
          <w:szCs w:val="28"/>
        </w:rPr>
        <w:t>30</w:t>
      </w:r>
      <w:r w:rsidRPr="0034668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22BD0" w:rsidRPr="00346687" w:rsidRDefault="00422BD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D0" w:rsidRPr="00346687" w:rsidRDefault="00422BD0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202</w:t>
      </w:r>
      <w:r w:rsidR="000950F9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950F9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для достижения целей и решения задач Программы предлагается утвердить значение </w:t>
      </w:r>
      <w:r w:rsidR="00FB30E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10917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индикаторов (показателей):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- прирост поступлений налоговых и неналоговых доходов бюджета муниципального округа (без учета доходов, полученных от продажи земельных участков, государственная собственность на которые не разграничена) к уровню предыдущего года;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- отношение просроченной кредиторской задолженности, сложившейся по расходам бюджета муниципального округа к общему объему расходов бюджета муниципального округа;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- удельный вес расходов бюджета муниципального округа, формируемых в рамках муниципальных программ Новоалександровского муниципального округа Ставропольского края (далее – муниципальные программы) в общем объеме расходов бюджета муниципального округа;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- ежегодное приведение параметров бюджетного прогноза Новоалександровского муниципального округа Ставропольского края на долгосрочный период в соответствие с решением Совета депутатов Новоалександровского муниципального округа Ставропольского края о бюджете на очередной финансовый год и плановый период;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- доля суммы выявленных нарушений при осуществлении внутреннего муниципального финансового контроля в общей сумме проверенных средств;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- проведение оценки качества финансового менеджмента, осуществляемого субъектами бюджетного планирования Новоалександровского муниципального округа Ставропольского края;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687">
        <w:rPr>
          <w:rFonts w:ascii="Times New Roman" w:hAnsi="Times New Roman" w:cs="Times New Roman"/>
          <w:sz w:val="28"/>
          <w:szCs w:val="28"/>
        </w:rPr>
        <w:t>- средняя оценка качества финансового менеджмента, осуществляемого субъектами бюджетного планирования Новоалександровского муниципального округа Ставропольского края;</w:t>
      </w:r>
    </w:p>
    <w:p w:rsidR="00FB30ED" w:rsidRPr="00346687" w:rsidRDefault="00FB30ED" w:rsidP="00FB30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687">
        <w:rPr>
          <w:rFonts w:ascii="Times New Roman" w:hAnsi="Times New Roman" w:cs="Times New Roman"/>
          <w:bCs/>
          <w:sz w:val="28"/>
          <w:szCs w:val="28"/>
        </w:rPr>
        <w:t>- о</w:t>
      </w:r>
      <w:r w:rsidRPr="00346687">
        <w:rPr>
          <w:rFonts w:ascii="Times New Roman" w:hAnsi="Times New Roman" w:cs="Times New Roman"/>
          <w:sz w:val="28"/>
          <w:szCs w:val="28"/>
        </w:rPr>
        <w:t>хват централизованной формой ведения бюджетного (бухгалтерского) учета органов местного самоуправления и муниципальных учреждений Новоалександровского муниципального округа Ставропольского края.</w:t>
      </w:r>
    </w:p>
    <w:p w:rsidR="00910917" w:rsidRPr="00346687" w:rsidRDefault="00910917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346687" w:rsidRDefault="004971FD" w:rsidP="004971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687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Программы с 2025 по 2030 годы распределен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:rsidR="004971FD" w:rsidRPr="00346687" w:rsidRDefault="004971FD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346687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Представленный на экспертизу проект Программы соответствует утвержденному Порядку, т.е. проект программы содержит паспорт Программы, паспорта подпрограмм, определены программные мероприятия с указанием прогнозируемых объемов финансирования, сроки исполнения и ожидаемые результаты реализации мероприятий, представлены индикаторы достижения целей Программы, определены весовые коэффициенты, присвоенные целям и задачам Программы. </w:t>
      </w:r>
    </w:p>
    <w:p w:rsidR="00910917" w:rsidRPr="00346687" w:rsidRDefault="00910917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346687" w:rsidRDefault="004971FD" w:rsidP="00497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4971FD" w:rsidRPr="00346687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346687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представлена на экспертизу </w:t>
      </w:r>
      <w:r w:rsidR="00CC44B0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2024 года. </w:t>
      </w:r>
    </w:p>
    <w:p w:rsidR="004971FD" w:rsidRPr="00346687" w:rsidRDefault="00A97468" w:rsidP="00A9746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4971F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</w:t>
      </w:r>
      <w:r w:rsidR="004971F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17 Порядка</w:t>
      </w:r>
      <w:r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71FD" w:rsidRPr="00346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71FD" w:rsidRPr="00346687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выносится на общественное обсуждение.</w:t>
      </w:r>
      <w:r w:rsidRPr="00346687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необходимо разместить на официальном сайте органа, ответственного за разработку документа стратегического планирования (Программы) - на сайте администрации Новоалександровского муниципального округа Ставропольского края (https://newalexandrovsk.gosuslugi.ru/).</w:t>
      </w:r>
    </w:p>
    <w:p w:rsidR="004971FD" w:rsidRPr="00346687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6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Контрольно-счетный орган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</w:p>
    <w:p w:rsidR="00CC44B0" w:rsidRPr="00346687" w:rsidRDefault="00CC44B0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1FD" w:rsidRPr="00346687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87">
        <w:rPr>
          <w:rFonts w:ascii="Times New Roman" w:hAnsi="Times New Roman" w:cs="Times New Roman"/>
          <w:sz w:val="28"/>
          <w:szCs w:val="28"/>
        </w:rPr>
        <w:t>После вступления в силу решения Совета Депутатов Новоалександровского муниципального округа Ставропольского края «О бюджете Новоалександровского муниципального округа Ставропольского края на 2025 год и плановый период 2026 и 2027 годов», в силу требований статьи 179 Бюджетного кодекса Российской Федерации, муниципальная программа «</w:t>
      </w:r>
      <w:r w:rsidR="00CC44B0" w:rsidRPr="00346687">
        <w:rPr>
          <w:rFonts w:ascii="Times New Roman" w:hAnsi="Times New Roman" w:cs="Times New Roman"/>
          <w:bCs/>
          <w:sz w:val="28"/>
          <w:szCs w:val="28"/>
          <w:lang w:eastAsia="ar-SA"/>
        </w:rPr>
        <w:t>Управление финансами Новоалександровского муниципального округа Ставропольского края</w:t>
      </w:r>
      <w:r w:rsidRPr="00346687">
        <w:rPr>
          <w:rFonts w:ascii="Times New Roman" w:hAnsi="Times New Roman" w:cs="Times New Roman"/>
          <w:sz w:val="28"/>
          <w:szCs w:val="28"/>
        </w:rPr>
        <w:t>» подлежит приведению в соответствии с указанным решением.</w:t>
      </w:r>
    </w:p>
    <w:p w:rsidR="00C43850" w:rsidRPr="00346687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1C8" w:rsidRPr="00346687" w:rsidRDefault="003751C8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1C8" w:rsidRPr="00346687" w:rsidRDefault="003751C8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346687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346687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346687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4971FD" w:rsidRPr="00346687">
        <w:rPr>
          <w:rFonts w:ascii="Times New Roman" w:hAnsi="Times New Roman"/>
          <w:sz w:val="28"/>
          <w:szCs w:val="28"/>
        </w:rPr>
        <w:t>муниципального</w:t>
      </w:r>
      <w:r w:rsidRPr="00346687">
        <w:rPr>
          <w:rFonts w:ascii="Times New Roman" w:hAnsi="Times New Roman"/>
          <w:sz w:val="28"/>
          <w:szCs w:val="28"/>
        </w:rPr>
        <w:t xml:space="preserve"> </w:t>
      </w:r>
    </w:p>
    <w:p w:rsidR="00C43850" w:rsidRPr="00B740EB" w:rsidRDefault="00C43850" w:rsidP="00BF74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687">
        <w:rPr>
          <w:rFonts w:ascii="Times New Roman" w:hAnsi="Times New Roman"/>
          <w:sz w:val="28"/>
          <w:szCs w:val="28"/>
        </w:rPr>
        <w:t>округа Ставропольского края</w:t>
      </w:r>
      <w:r w:rsidRPr="00346687">
        <w:rPr>
          <w:rFonts w:ascii="Times New Roman" w:hAnsi="Times New Roman"/>
          <w:sz w:val="28"/>
          <w:szCs w:val="28"/>
        </w:rPr>
        <w:tab/>
      </w:r>
      <w:r w:rsidRPr="00346687">
        <w:rPr>
          <w:rFonts w:ascii="Times New Roman" w:hAnsi="Times New Roman"/>
          <w:sz w:val="28"/>
          <w:szCs w:val="28"/>
        </w:rPr>
        <w:tab/>
      </w:r>
      <w:r w:rsidRPr="00346687">
        <w:rPr>
          <w:rFonts w:ascii="Times New Roman" w:hAnsi="Times New Roman"/>
          <w:sz w:val="28"/>
          <w:szCs w:val="28"/>
        </w:rPr>
        <w:tab/>
      </w:r>
      <w:r w:rsidRPr="00346687">
        <w:rPr>
          <w:rFonts w:ascii="Times New Roman" w:hAnsi="Times New Roman"/>
          <w:sz w:val="28"/>
          <w:szCs w:val="28"/>
        </w:rPr>
        <w:tab/>
        <w:t xml:space="preserve">            </w:t>
      </w:r>
      <w:r w:rsidRPr="00346687">
        <w:rPr>
          <w:rFonts w:ascii="Times New Roman" w:hAnsi="Times New Roman"/>
          <w:sz w:val="28"/>
          <w:szCs w:val="28"/>
        </w:rPr>
        <w:tab/>
        <w:t>О.В. Захарченко</w:t>
      </w:r>
    </w:p>
    <w:p w:rsidR="00315100" w:rsidRPr="0011144D" w:rsidRDefault="00315100" w:rsidP="00D34B0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3795"/>
    <w:multiLevelType w:val="hybridMultilevel"/>
    <w:tmpl w:val="395A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14A5"/>
    <w:multiLevelType w:val="hybridMultilevel"/>
    <w:tmpl w:val="085E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54B16"/>
    <w:multiLevelType w:val="hybridMultilevel"/>
    <w:tmpl w:val="7BA4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619B2"/>
    <w:rsid w:val="00074E26"/>
    <w:rsid w:val="0008314C"/>
    <w:rsid w:val="000870F7"/>
    <w:rsid w:val="00093D74"/>
    <w:rsid w:val="00094C52"/>
    <w:rsid w:val="000950F9"/>
    <w:rsid w:val="000A4B7E"/>
    <w:rsid w:val="000E6402"/>
    <w:rsid w:val="000F0086"/>
    <w:rsid w:val="00107F8C"/>
    <w:rsid w:val="0011144D"/>
    <w:rsid w:val="0012543A"/>
    <w:rsid w:val="00140EAD"/>
    <w:rsid w:val="001701BB"/>
    <w:rsid w:val="0018233A"/>
    <w:rsid w:val="00183892"/>
    <w:rsid w:val="001857FA"/>
    <w:rsid w:val="001863EE"/>
    <w:rsid w:val="001977DB"/>
    <w:rsid w:val="001A646B"/>
    <w:rsid w:val="001B1D86"/>
    <w:rsid w:val="001B5197"/>
    <w:rsid w:val="001F3AAC"/>
    <w:rsid w:val="00211B92"/>
    <w:rsid w:val="00214132"/>
    <w:rsid w:val="0021499A"/>
    <w:rsid w:val="002264F4"/>
    <w:rsid w:val="0026051F"/>
    <w:rsid w:val="0027145D"/>
    <w:rsid w:val="0027454E"/>
    <w:rsid w:val="00277C8F"/>
    <w:rsid w:val="002946E4"/>
    <w:rsid w:val="00296080"/>
    <w:rsid w:val="00297038"/>
    <w:rsid w:val="002A1640"/>
    <w:rsid w:val="002A4327"/>
    <w:rsid w:val="002C04E8"/>
    <w:rsid w:val="002E4562"/>
    <w:rsid w:val="002F41DB"/>
    <w:rsid w:val="002F4540"/>
    <w:rsid w:val="003121BB"/>
    <w:rsid w:val="00313DA5"/>
    <w:rsid w:val="00314707"/>
    <w:rsid w:val="00315100"/>
    <w:rsid w:val="0031763E"/>
    <w:rsid w:val="00346687"/>
    <w:rsid w:val="0037444A"/>
    <w:rsid w:val="003751C8"/>
    <w:rsid w:val="00386B8E"/>
    <w:rsid w:val="003A7E0E"/>
    <w:rsid w:val="003C07CE"/>
    <w:rsid w:val="003D5F76"/>
    <w:rsid w:val="003D6046"/>
    <w:rsid w:val="00400BD1"/>
    <w:rsid w:val="004056DD"/>
    <w:rsid w:val="00416A06"/>
    <w:rsid w:val="00422BD0"/>
    <w:rsid w:val="00432AA3"/>
    <w:rsid w:val="00464DF1"/>
    <w:rsid w:val="0046713B"/>
    <w:rsid w:val="00477D39"/>
    <w:rsid w:val="004936F7"/>
    <w:rsid w:val="004971FD"/>
    <w:rsid w:val="004D760E"/>
    <w:rsid w:val="004E2DFF"/>
    <w:rsid w:val="005007CA"/>
    <w:rsid w:val="0054441F"/>
    <w:rsid w:val="0057015D"/>
    <w:rsid w:val="00580362"/>
    <w:rsid w:val="00580C14"/>
    <w:rsid w:val="00581AF7"/>
    <w:rsid w:val="005A7FDA"/>
    <w:rsid w:val="005D0588"/>
    <w:rsid w:val="005D7B5C"/>
    <w:rsid w:val="005E2152"/>
    <w:rsid w:val="005E6518"/>
    <w:rsid w:val="005E75DF"/>
    <w:rsid w:val="00611F80"/>
    <w:rsid w:val="00627961"/>
    <w:rsid w:val="006326E0"/>
    <w:rsid w:val="0065488D"/>
    <w:rsid w:val="00670C49"/>
    <w:rsid w:val="006726A9"/>
    <w:rsid w:val="00683952"/>
    <w:rsid w:val="006E1AD5"/>
    <w:rsid w:val="006F3653"/>
    <w:rsid w:val="00740509"/>
    <w:rsid w:val="0075193B"/>
    <w:rsid w:val="007550CA"/>
    <w:rsid w:val="00760BC6"/>
    <w:rsid w:val="007B4AA8"/>
    <w:rsid w:val="007C11F0"/>
    <w:rsid w:val="00802D9F"/>
    <w:rsid w:val="00803008"/>
    <w:rsid w:val="008147D9"/>
    <w:rsid w:val="00863AA5"/>
    <w:rsid w:val="00875016"/>
    <w:rsid w:val="00882CC2"/>
    <w:rsid w:val="0088778A"/>
    <w:rsid w:val="008F31B3"/>
    <w:rsid w:val="008F7D74"/>
    <w:rsid w:val="00910917"/>
    <w:rsid w:val="009111DD"/>
    <w:rsid w:val="009621BD"/>
    <w:rsid w:val="00985898"/>
    <w:rsid w:val="009860A6"/>
    <w:rsid w:val="0099710A"/>
    <w:rsid w:val="009A4311"/>
    <w:rsid w:val="009A44E6"/>
    <w:rsid w:val="009A6610"/>
    <w:rsid w:val="009B0E31"/>
    <w:rsid w:val="009B5FC6"/>
    <w:rsid w:val="00A1384E"/>
    <w:rsid w:val="00A13AB0"/>
    <w:rsid w:val="00A21B38"/>
    <w:rsid w:val="00A31B06"/>
    <w:rsid w:val="00A44EAA"/>
    <w:rsid w:val="00A97468"/>
    <w:rsid w:val="00AA1A31"/>
    <w:rsid w:val="00AE55F5"/>
    <w:rsid w:val="00AF217B"/>
    <w:rsid w:val="00B00D63"/>
    <w:rsid w:val="00B06542"/>
    <w:rsid w:val="00B11E62"/>
    <w:rsid w:val="00B60DD3"/>
    <w:rsid w:val="00B62E34"/>
    <w:rsid w:val="00B740EB"/>
    <w:rsid w:val="00B775F3"/>
    <w:rsid w:val="00B95E1C"/>
    <w:rsid w:val="00BB7552"/>
    <w:rsid w:val="00BF1518"/>
    <w:rsid w:val="00BF74AB"/>
    <w:rsid w:val="00C26733"/>
    <w:rsid w:val="00C37C6F"/>
    <w:rsid w:val="00C43850"/>
    <w:rsid w:val="00C604F7"/>
    <w:rsid w:val="00C60CC6"/>
    <w:rsid w:val="00C63AA7"/>
    <w:rsid w:val="00C766A1"/>
    <w:rsid w:val="00C958D0"/>
    <w:rsid w:val="00CA0DEA"/>
    <w:rsid w:val="00CB0E8B"/>
    <w:rsid w:val="00CC44B0"/>
    <w:rsid w:val="00CD0A3D"/>
    <w:rsid w:val="00CD7F02"/>
    <w:rsid w:val="00CE2149"/>
    <w:rsid w:val="00CF519B"/>
    <w:rsid w:val="00CF7399"/>
    <w:rsid w:val="00CF7858"/>
    <w:rsid w:val="00D10160"/>
    <w:rsid w:val="00D113C7"/>
    <w:rsid w:val="00D22B68"/>
    <w:rsid w:val="00D34B0B"/>
    <w:rsid w:val="00D3675E"/>
    <w:rsid w:val="00D52C03"/>
    <w:rsid w:val="00D834F0"/>
    <w:rsid w:val="00DA0EA8"/>
    <w:rsid w:val="00DB2618"/>
    <w:rsid w:val="00DB7646"/>
    <w:rsid w:val="00DC0B21"/>
    <w:rsid w:val="00DC4259"/>
    <w:rsid w:val="00DE4E9F"/>
    <w:rsid w:val="00E10AA3"/>
    <w:rsid w:val="00E22EF2"/>
    <w:rsid w:val="00E24BE6"/>
    <w:rsid w:val="00E643CC"/>
    <w:rsid w:val="00E64C77"/>
    <w:rsid w:val="00E94B71"/>
    <w:rsid w:val="00EA755B"/>
    <w:rsid w:val="00EB5B69"/>
    <w:rsid w:val="00EB7B4D"/>
    <w:rsid w:val="00EC1BF1"/>
    <w:rsid w:val="00EE4AD8"/>
    <w:rsid w:val="00F20842"/>
    <w:rsid w:val="00F42F89"/>
    <w:rsid w:val="00F7475D"/>
    <w:rsid w:val="00F76CD8"/>
    <w:rsid w:val="00F7743B"/>
    <w:rsid w:val="00F82697"/>
    <w:rsid w:val="00FB30ED"/>
    <w:rsid w:val="00FB6AA4"/>
    <w:rsid w:val="00FC5F84"/>
    <w:rsid w:val="00FD40FD"/>
    <w:rsid w:val="00FD5429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38AE-AA9B-4A20-A57E-B088D867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70C49"/>
    <w:pPr>
      <w:spacing w:after="0" w:line="240" w:lineRule="auto"/>
    </w:pPr>
  </w:style>
  <w:style w:type="paragraph" w:styleId="aa">
    <w:name w:val="Balloon Text"/>
    <w:basedOn w:val="a"/>
    <w:link w:val="ab"/>
    <w:unhideWhenUsed/>
    <w:rsid w:val="00FB6AA4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b">
    <w:name w:val="Текст выноски Знак"/>
    <w:basedOn w:val="a0"/>
    <w:link w:val="aa"/>
    <w:rsid w:val="00FB6AA4"/>
    <w:rPr>
      <w:rFonts w:ascii="Tahoma" w:eastAsia="DejaVu Sans" w:hAnsi="Tahoma" w:cs="Tahoma"/>
      <w:kern w:val="1"/>
      <w:sz w:val="16"/>
      <w:szCs w:val="16"/>
    </w:rPr>
  </w:style>
  <w:style w:type="paragraph" w:styleId="ac">
    <w:name w:val="List"/>
    <w:basedOn w:val="ad"/>
    <w:rsid w:val="00DC0B21"/>
    <w:pPr>
      <w:spacing w:after="0" w:line="240" w:lineRule="auto"/>
      <w:jc w:val="both"/>
    </w:pPr>
    <w:rPr>
      <w:rFonts w:ascii="Times New Roman" w:eastAsia="Times New Roman" w:hAnsi="Times New Roman" w:cs="Lohit Devanagari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C0B2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C0B21"/>
  </w:style>
  <w:style w:type="paragraph" w:customStyle="1" w:styleId="ConsPlusNormal0">
    <w:name w:val="ConsPlusNormal"/>
    <w:link w:val="ConsPlusNormal1"/>
    <w:rsid w:val="00422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rsid w:val="0099710A"/>
    <w:rPr>
      <w:color w:val="0000FF"/>
      <w:u w:val="single"/>
    </w:rPr>
  </w:style>
  <w:style w:type="paragraph" w:customStyle="1" w:styleId="formattext">
    <w:name w:val="formattext"/>
    <w:basedOn w:val="a"/>
    <w:rsid w:val="0099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rsid w:val="00FB30E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9BE0925EBB8B964A88DED19883626DA6B6B69C3A9CC5AB0F3385AD5EC0E25208D7D062094AD8375F9B234k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D38D73455120B69B48CF5BFEEA0C15E92AF91F1DEFD6B8682CA1A04888BA6206EF65816173C02F8D593B1E2BF103656586C61BB303D31AG4H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3B0520F4BED788CACA678380C06A26579B14E459231276E6429FC533F281FEXDC8G" TargetMode="External"/><Relationship Id="rId5" Type="http://schemas.openxmlformats.org/officeDocument/2006/relationships/hyperlink" Target="consultantplus://offline/ref=3C60635BE126C4D2E4DD5C4B8B5360EC3CC74F83FCE297F67FB074F555DAEB836F9E6F81DB262FDC074B166504mBH4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5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48</cp:revision>
  <cp:lastPrinted>2024-11-19T07:12:00Z</cp:lastPrinted>
  <dcterms:created xsi:type="dcterms:W3CDTF">2016-11-17T05:58:00Z</dcterms:created>
  <dcterms:modified xsi:type="dcterms:W3CDTF">2024-11-19T07:12:00Z</dcterms:modified>
</cp:coreProperties>
</file>